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DA648D">
        <w:trPr>
          <w:cantSplit/>
        </w:trPr>
        <w:tc>
          <w:tcPr>
            <w:tcW w:w="31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DA648D" w:rsidRDefault="00BD7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Svatoňovice 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5"/>
        <w:gridCol w:w="314"/>
        <w:gridCol w:w="785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ÚJ časové rozlišení vede jako pohledávky a závazky. Účetní jednotka se řídí směrnicí č. 2/2015 k aplikaci reálné hodnoty u majetku určeného k prodeji. Účetní jednotka pokračuje ve své činnosti.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 oceňování a účtování zásob postupuje obec v souladu s pravidly stanovenými § 7 odst. 4. Zákona o účetnictví č. 563/1991Sb. o pořízení a úbytku zásob účtuje obec podle způsobu B. Obec Svatoňovice účtuje v programu GORDIC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 w:rsidP="00DA70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 Svatoňovice účtuje majetek dle Směrnice č.3/2017 Evidence, účtování a odepisování majetku Obce Svatoňovice. Dlouhodobý nehmotný majetek představují: - ocenitelná práva průmyslového vlastnictví, licence, poskytování technických nebo jiných využitelných vlastnictví, projektová dokumentace a software s dobou použite</w:t>
            </w:r>
            <w:r w:rsidR="00DA701A">
              <w:rPr>
                <w:rFonts w:ascii="Arial" w:hAnsi="Arial"/>
                <w:sz w:val="18"/>
              </w:rPr>
              <w:t>lnosti delší než jeden rok, její</w:t>
            </w:r>
            <w:r>
              <w:rPr>
                <w:rFonts w:ascii="Arial" w:hAnsi="Arial"/>
                <w:sz w:val="18"/>
              </w:rPr>
              <w:t>ž ocenění převyšuje částku 60.000,-- Kč. Drobný dlouhodobý nehmotný majetek s dobou použitelnosti delší než jeden rok a vstupní cenou v rozmezí od 7.000,- do 60.000,- Kč. Dlouhodobý hmotný majetek představují: samostatné movité věci, jejichž oceněn</w:t>
            </w:r>
            <w:r w:rsidR="00DA701A">
              <w:rPr>
                <w:rFonts w:ascii="Arial" w:hAnsi="Arial"/>
                <w:sz w:val="18"/>
              </w:rPr>
              <w:t>í převyšuje částku 40.000,-- Kč</w:t>
            </w:r>
            <w:r>
              <w:rPr>
                <w:rFonts w:ascii="Arial" w:hAnsi="Arial"/>
                <w:sz w:val="18"/>
              </w:rPr>
              <w:t xml:space="preserve"> a doba použitelnosti je delší než jeden rok. Patří sem pozemky, stavby, kulturní předměty a pěstitelské celky trvalých porostů bez ohledu na výši ocenění. Drobný dlouhodobý hmotný majetek je majetek s dobou použitelnosti delší než jeden rok a vstupní cenou v rozmezí od 3.000,- do 40.000,- Kč. Majetek s hodnotou nižší než 3.000,- Kč a dobou použitelností delší než 1 rok evidujeme v podrozvahové evidenci. Věcná břemena, kde je obec oprávněna, o nich nebude do částky 40.000,- Kč účtovat na účtu 029, bude je pouze analyticky rozlišovat.</w:t>
            </w:r>
            <w:r w:rsidR="00DA701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Technickým zhodnocením se rozumí modernizace, rekonstrukce, nástavby, přístavby, stavební úpravy. Zásobami jsou: skladový materiál (suroviny, pomocné látky, provozovací </w:t>
            </w:r>
            <w:r w:rsidR="00DA701A">
              <w:rPr>
                <w:rFonts w:ascii="Arial" w:hAnsi="Arial"/>
                <w:sz w:val="18"/>
              </w:rPr>
              <w:t>látky, materiál na opravy), náhr</w:t>
            </w:r>
            <w:r>
              <w:rPr>
                <w:rFonts w:ascii="Arial" w:hAnsi="Arial"/>
                <w:sz w:val="18"/>
              </w:rPr>
              <w:t xml:space="preserve">adní díly, obaly, movité věci s dobou použitelnosti jeden rok a kratší bez ohledu na pořizovací cenu. Při oceňování zásob postupuje obec v souladu s pravidly stanovenými v prováděcí vyhlášce k zákonu o účetnictví a dále zejména dle ČSÚ. O pořízení a úbytku zásob účtuje obec podle způsobu B. Dle § 11 vyhlášky č. 410/2009 Sb. lesní hospodářské plány, povodňové plány, plány povodí a energetické audity budou považovány za provozní náklad a na majetkových účtech nebudou evidovány, pokud nadřízený orgán nerozhodne jinak nebo poskytovatel dotace (příspěvku) u konkrétních jednotlivých případů (záměr pořízení dlouhodobého majetku). Stanovení odpisového plánu: Účetní jednotka provádí čtvrtletní rovnoměrný odpis. V roce 2021 nebyly uhrazeny pohledávky po splatnosti za dřevo fa. Tvarůžek </w:t>
            </w:r>
            <w:r w:rsidR="00DA701A">
              <w:rPr>
                <w:rFonts w:ascii="Arial" w:hAnsi="Arial"/>
                <w:sz w:val="18"/>
              </w:rPr>
              <w:t>z roku 2007 na účtu č. 311 0316</w:t>
            </w:r>
            <w:r>
              <w:rPr>
                <w:rFonts w:ascii="Arial" w:hAnsi="Arial"/>
                <w:sz w:val="18"/>
              </w:rPr>
              <w:t xml:space="preserve">. </w:t>
            </w:r>
            <w:r w:rsidR="00DA701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Pohledávka za fa. Tvarůžek činí k 31.12.2021 částku 7.502,96 Kč. V roce 2017 zastupitels</w:t>
            </w:r>
            <w:r w:rsidR="00DA701A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vo obce schválilo na svém 5. ZZO Plán financování obnovy vodovodu ve výši 20.000,- Kč ročně, který je evidován analyticky na účtu 231 0030/441 0100. Na účtu 041 Nedokončený dlouhodobý nehmotný majetek ve výši 221.430,00 Kč evidujeme zhotovení Územního plánu obce</w:t>
            </w:r>
            <w:r w:rsidR="00DA701A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u kterého je před</w:t>
            </w:r>
            <w:r w:rsidR="00DA701A">
              <w:rPr>
                <w:rFonts w:ascii="Arial" w:hAnsi="Arial"/>
                <w:sz w:val="18"/>
              </w:rPr>
              <w:t xml:space="preserve">poklad dokončení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v roce 2022. Na účtu 042 Nedokončený a pořizovaný dlouhodobý majetek ve výši 57.524,01 Kč evidujeme technické zhodnocení hospodářské budovy na par.</w:t>
            </w:r>
            <w:r w:rsidR="00DA701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č. 89 v k.ú. Svatoňovice, která by měla po dokončení sloužit včetně pozemku jako sběrné místo tříděného odpadu. Na účtu č. 316 poskytnuté návratné finanční výpomoci krátkodobé obec eviduje k 31.12.2021 záp</w:t>
            </w:r>
            <w:r w:rsidR="00DA701A">
              <w:rPr>
                <w:rFonts w:ascii="Arial" w:hAnsi="Arial"/>
                <w:sz w:val="18"/>
              </w:rPr>
              <w:t>ů</w:t>
            </w:r>
            <w:r>
              <w:rPr>
                <w:rFonts w:ascii="Arial" w:hAnsi="Arial"/>
                <w:sz w:val="18"/>
              </w:rPr>
              <w:t>jčku dle Smlouva o zápůjčce - peněžní ze dne 04.08.2021 Venkovskému mikroregionu Moravice ve výši 181.665,51 Kč, se splatností do 30.06.2022.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5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9" w:type="dxa"/>
            <w:gridSpan w:val="2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9"/>
        <w:gridCol w:w="785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654 913,31 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642 281,21 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566 452,31 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555 085,21 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22 550,00 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21 285,00 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59 131,00 </w:t>
            </w: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podmíněné </w:t>
            </w:r>
            <w:proofErr w:type="spellStart"/>
            <w:r>
              <w:rPr>
                <w:rFonts w:ascii="Arial" w:hAnsi="Arial"/>
                <w:sz w:val="16"/>
              </w:rPr>
              <w:t>pohled.z</w:t>
            </w:r>
            <w:proofErr w:type="spellEnd"/>
            <w:r>
              <w:rPr>
                <w:rFonts w:ascii="Arial" w:hAnsi="Arial"/>
                <w:sz w:val="16"/>
              </w:rPr>
              <w:t xml:space="preserve">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podmíněné </w:t>
            </w:r>
            <w:proofErr w:type="spellStart"/>
            <w:r>
              <w:rPr>
                <w:rFonts w:ascii="Arial" w:hAnsi="Arial"/>
                <w:sz w:val="16"/>
              </w:rPr>
              <w:t>pohled.z</w:t>
            </w:r>
            <w:proofErr w:type="spellEnd"/>
            <w:r>
              <w:rPr>
                <w:rFonts w:ascii="Arial" w:hAnsi="Arial"/>
                <w:sz w:val="16"/>
              </w:rPr>
              <w:t xml:space="preserve">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Krátk</w:t>
            </w:r>
            <w:proofErr w:type="spellEnd"/>
            <w:r>
              <w:rPr>
                <w:rFonts w:ascii="Arial" w:hAnsi="Arial"/>
                <w:sz w:val="16"/>
              </w:rPr>
              <w:t xml:space="preserve">. podmíněné závazky vyplývající z </w:t>
            </w:r>
            <w:proofErr w:type="spellStart"/>
            <w:r>
              <w:rPr>
                <w:rFonts w:ascii="Arial" w:hAnsi="Arial"/>
                <w:sz w:val="16"/>
              </w:rPr>
              <w:t>pr.předp.a</w:t>
            </w:r>
            <w:proofErr w:type="spellEnd"/>
            <w:r>
              <w:rPr>
                <w:rFonts w:ascii="Arial" w:hAnsi="Arial"/>
                <w:sz w:val="16"/>
              </w:rPr>
              <w:t xml:space="preserve"> další </w:t>
            </w:r>
            <w:proofErr w:type="spellStart"/>
            <w:r>
              <w:rPr>
                <w:rFonts w:ascii="Arial" w:hAnsi="Arial"/>
                <w:sz w:val="16"/>
              </w:rPr>
              <w:t>činn.moci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zákonod</w:t>
            </w:r>
            <w:proofErr w:type="spellEnd"/>
            <w:r>
              <w:rPr>
                <w:rFonts w:ascii="Arial" w:hAnsi="Arial"/>
                <w:sz w:val="16"/>
              </w:rPr>
              <w:t>.,výkon.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 xml:space="preserve">. podmíněné závazky vyplývající z </w:t>
            </w:r>
            <w:proofErr w:type="spellStart"/>
            <w:r>
              <w:rPr>
                <w:rFonts w:ascii="Arial" w:hAnsi="Arial"/>
                <w:sz w:val="16"/>
              </w:rPr>
              <w:t>pr.předp.a</w:t>
            </w:r>
            <w:proofErr w:type="spellEnd"/>
            <w:r>
              <w:rPr>
                <w:rFonts w:ascii="Arial" w:hAnsi="Arial"/>
                <w:sz w:val="16"/>
              </w:rPr>
              <w:t xml:space="preserve"> další </w:t>
            </w:r>
            <w:proofErr w:type="spellStart"/>
            <w:r>
              <w:rPr>
                <w:rFonts w:ascii="Arial" w:hAnsi="Arial"/>
                <w:sz w:val="16"/>
              </w:rPr>
              <w:t>činn.moci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zákonod</w:t>
            </w:r>
            <w:proofErr w:type="spellEnd"/>
            <w:r>
              <w:rPr>
                <w:rFonts w:ascii="Arial" w:hAnsi="Arial"/>
                <w:sz w:val="16"/>
              </w:rPr>
              <w:t>.,výkon.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654 913,31 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642 281,21 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A.5.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Ke dni 31.12.2021 nejsou známy žádné skutečnosti, které by nebyly zachyceny v účetnictví</w:t>
            </w: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 31.12.2021 evidujeme prodej parcely par. č. 2341/69 v k.ú Svatoňovice, </w:t>
            </w:r>
            <w:proofErr w:type="spellStart"/>
            <w:r>
              <w:rPr>
                <w:rFonts w:ascii="Arial" w:hAnsi="Arial"/>
                <w:sz w:val="18"/>
              </w:rPr>
              <w:t>ktrý</w:t>
            </w:r>
            <w:proofErr w:type="spellEnd"/>
            <w:r>
              <w:rPr>
                <w:rFonts w:ascii="Arial" w:hAnsi="Arial"/>
                <w:sz w:val="18"/>
              </w:rPr>
              <w:t xml:space="preserve"> schválilo Zastupitelstvo obce Svatoňovice dne 23.11.2021  pod č.j. 6./2021 za cenu 29.920,- Kč.</w:t>
            </w: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0.00</w:t>
            </w:r>
          </w:p>
        </w:tc>
        <w:tc>
          <w:tcPr>
            <w:tcW w:w="1413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 inventarizaci nevznikly žádné rozdíly.</w:t>
            </w: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7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6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"C.I.1 Jmění účetní jednotky" a "C.I.3. Transfery na pořízení dlouhodobého majetku"</w:t>
            </w:r>
          </w:p>
        </w:tc>
      </w:tr>
      <w:tr w:rsidR="00DA648D">
        <w:trPr>
          <w:cantSplit/>
        </w:trPr>
        <w:tc>
          <w:tcPr>
            <w:tcW w:w="15704" w:type="dxa"/>
            <w:gridSpan w:val="5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7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7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DA648D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C.1.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150 040,00 </w:t>
            </w:r>
          </w:p>
        </w:tc>
      </w:tr>
      <w:tr w:rsidR="00DA648D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23 287,67 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23 287,73 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1492748.00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85086636.00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2563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5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22 993 283,42 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8 140 109,00 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14 853 174,42 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15 007 046,22 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3 274 008,00 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1 530 980,00 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1 743 028,00 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1 788 900,00 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6 006 024,47 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2 289 728,00 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3 716 296,47 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3 814 096,47 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5 929 477,18 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1 868 003,00 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4 061 474,18 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4 156 241,18 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2 938 536,67 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1 541 938,00 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1 396 598,67 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1 425 274,67 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4 845 237,10 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909 460,00 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3 935 777,10 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3 822 533,90 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11 338 877,62 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11 338 877,62 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11 352 477,62 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2 316 814,93 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2 316 814,93 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2 330 414,93 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 Doplňující informace k položce "A.II.4. Náklady z přecenění reálnou hodnotou"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 Doplňující informace k položce "B.II.4. Výnosy z přecenění reálnou hodnotou"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3 120,00 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BD7C0A" w:rsidRDefault="00BD7C0A"/>
    <w:sectPr w:rsidR="00BD7C0A">
      <w:headerReference w:type="default" r:id="rId121"/>
      <w:footerReference w:type="default" r:id="rId122"/>
      <w:headerReference w:type="first" r:id="rId123"/>
      <w:footerReference w:type="first" r:id="rId124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59" w:rsidRDefault="001E2659">
      <w:pPr>
        <w:spacing w:after="0" w:line="240" w:lineRule="auto"/>
      </w:pPr>
      <w:r>
        <w:separator/>
      </w:r>
    </w:p>
  </w:endnote>
  <w:endnote w:type="continuationSeparator" w:id="0">
    <w:p w:rsidR="001E2659" w:rsidRDefault="001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DA701A">
            <w:rPr>
              <w:rFonts w:ascii="Arial" w:hAnsi="Arial"/>
              <w:i/>
              <w:sz w:val="14"/>
            </w:rPr>
            <w:fldChar w:fldCharType="separate"/>
          </w:r>
          <w:r w:rsidR="00DA701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59" w:rsidRDefault="001E2659">
      <w:pPr>
        <w:spacing w:after="0" w:line="240" w:lineRule="auto"/>
      </w:pPr>
      <w:r>
        <w:separator/>
      </w:r>
    </w:p>
  </w:footnote>
  <w:footnote w:type="continuationSeparator" w:id="0">
    <w:p w:rsidR="001E2659" w:rsidRDefault="001E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B.2.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8</w:t>
          </w: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B.3.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68 odst. 3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6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"C.I.1 Jmění účetní jednotky" a "C.I.3. Transfery na pořízení dlouhodobého majetku"</w:t>
          </w:r>
        </w:p>
      </w:tc>
    </w:tr>
    <w:tr w:rsidR="00DA648D">
      <w:trPr>
        <w:cantSplit/>
      </w:trPr>
      <w:tc>
        <w:tcPr>
          <w:tcW w:w="0" w:type="auto"/>
          <w:gridSpan w:val="6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497"/>
      <w:gridCol w:w="314"/>
      <w:gridCol w:w="785"/>
      <w:gridCol w:w="3141"/>
      <w:gridCol w:w="3141"/>
    </w:tblGrid>
    <w:tr w:rsidR="00DA648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6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DA648D">
      <w:trPr>
        <w:cantSplit/>
      </w:trPr>
      <w:tc>
        <w:tcPr>
          <w:tcW w:w="15704" w:type="dxa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9" w:type="dxa"/>
          <w:gridSpan w:val="3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9737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4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DA648D">
      <w:trPr>
        <w:cantSplit/>
      </w:trPr>
      <w:tc>
        <w:tcPr>
          <w:tcW w:w="0" w:type="auto"/>
          <w:gridSpan w:val="4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"A.II.3. Stavby" výkazu rozvahy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 Doplňující informace k položce "A.II.4. Náklady z přecenění reálnou hodnotou" výkazu zisku a ztráty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A.6.</w:t>
          </w:r>
        </w:p>
      </w:tc>
      <w:tc>
        <w:tcPr>
          <w:tcW w:w="15076" w:type="dxa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19 odst. 6 zákona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5" w:rsidRDefault="00BD7C0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8D"/>
    <w:rsid w:val="001E2659"/>
    <w:rsid w:val="00203D95"/>
    <w:rsid w:val="00772D56"/>
    <w:rsid w:val="00BD7C0A"/>
    <w:rsid w:val="00DA648D"/>
    <w:rsid w:val="00D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D78A-7413-4CB5-A360-97C840F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2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1944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mkazdova</dc:creator>
  <cp:lastModifiedBy>mkazdova</cp:lastModifiedBy>
  <cp:revision>4</cp:revision>
  <cp:lastPrinted>2022-05-10T12:38:00Z</cp:lastPrinted>
  <dcterms:created xsi:type="dcterms:W3CDTF">2022-02-02T16:11:00Z</dcterms:created>
  <dcterms:modified xsi:type="dcterms:W3CDTF">2022-05-10T12:41:00Z</dcterms:modified>
</cp:coreProperties>
</file>