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667CFD">
        <w:trPr>
          <w:cantSplit/>
        </w:trPr>
        <w:tc>
          <w:tcPr>
            <w:tcW w:w="2826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PŘÍLOHA</w:t>
            </w:r>
          </w:p>
        </w:tc>
      </w:tr>
      <w:tr w:rsidR="00667CFD">
        <w:trPr>
          <w:cantSplit/>
        </w:trPr>
        <w:tc>
          <w:tcPr>
            <w:tcW w:w="314" w:type="dxa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667CFD" w:rsidRDefault="00C34BD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2"/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</w:t>
            </w:r>
          </w:p>
        </w:tc>
      </w:tr>
      <w:tr w:rsidR="00667CFD">
        <w:trPr>
          <w:cantSplit/>
        </w:trPr>
        <w:tc>
          <w:tcPr>
            <w:tcW w:w="2826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8" w:type="dxa"/>
            <w:gridSpan w:val="2"/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667CFD">
        <w:trPr>
          <w:cantSplit/>
        </w:trPr>
        <w:tc>
          <w:tcPr>
            <w:tcW w:w="2826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  <w:vAlign w:val="center"/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8" w:type="dxa"/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2017</w:t>
            </w:r>
          </w:p>
        </w:tc>
      </w:tr>
      <w:tr w:rsidR="00667CFD">
        <w:trPr>
          <w:cantSplit/>
        </w:trPr>
        <w:tc>
          <w:tcPr>
            <w:tcW w:w="2826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8" w:type="dxa"/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00849979</w:t>
            </w:r>
          </w:p>
        </w:tc>
      </w:tr>
      <w:tr w:rsidR="00667CFD">
        <w:trPr>
          <w:cantSplit/>
        </w:trPr>
        <w:tc>
          <w:tcPr>
            <w:tcW w:w="2826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8" w:type="dxa"/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Svatoňovice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7695"/>
        <w:gridCol w:w="314"/>
        <w:gridCol w:w="785"/>
        <w:gridCol w:w="3141"/>
        <w:gridCol w:w="3141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A.1.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3 zákona</w:t>
            </w: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ÚJ časové rozlišení vede jako </w:t>
            </w:r>
            <w:r>
              <w:rPr>
                <w:rFonts w:ascii="Arial" w:hAnsi="Arial"/>
                <w:sz w:val="17"/>
              </w:rPr>
              <w:t>pohledávky a závazky. Účetní jednotka se řídí směrnicí č. 2/2015 k aplikaci reálné hodnoty u majetku určeného k prodeji. Účetní jednotka pokračuje ve své činnosti.</w:t>
            </w: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A.2.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4 zákona</w:t>
            </w: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Při oceňování a účtování zásob postupuje obec v </w:t>
            </w:r>
            <w:r>
              <w:rPr>
                <w:rFonts w:ascii="Arial" w:hAnsi="Arial"/>
                <w:sz w:val="17"/>
              </w:rPr>
              <w:t>souladu s pravidly stanovenými § 7 odst. 4. Zákona o účetnictví č. 563/1991Sb. o pořízení a úbytku zásob účtuje obec podle způsobu B.</w:t>
            </w: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A.3.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</w:t>
            </w: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 Svatoňovice účtuje majetek dle Směrnice č.3/2017 Evidence, účtování a ode</w:t>
            </w:r>
            <w:r>
              <w:rPr>
                <w:rFonts w:ascii="Arial" w:hAnsi="Arial"/>
                <w:sz w:val="17"/>
              </w:rPr>
              <w:t>pisování majetku Obce Svatoňovice. Dlouhodobý nehmotný majetek představují: - ocenitelná práva průmyslového vlastnictví, licence, poskytování technických nebo jiných využitelných vlastnictví, projektová dokumentace a software s dobou použitelnosti delší ne</w:t>
            </w:r>
            <w:r>
              <w:rPr>
                <w:rFonts w:ascii="Arial" w:hAnsi="Arial"/>
                <w:sz w:val="17"/>
              </w:rPr>
              <w:t>ž jeden rok, jejiž ocenění převyšuje částku 60.000,-- Kč. Drobný dlouhodobý nehmotný majetek s dobou použitelnosti delší než jeden rok a vstupní cenou v rozmezí od 7.000,- do 60.000,- Kč. Dlouhodobý hmotný majetek představují: samostatné movité věci, jejic</w:t>
            </w:r>
            <w:r>
              <w:rPr>
                <w:rFonts w:ascii="Arial" w:hAnsi="Arial"/>
                <w:sz w:val="17"/>
              </w:rPr>
              <w:t>hž ocenění převyšuje částku 40.000,-- Kč. a doba použitelnosti je delší než jeden rok. Patří sem pozemky, stavby, kulturní předměty a pěstitelské celky trvalých porostů bez ohledu navýši ocenění. Drobný dlouhodobý hmotný majetek je majetek s dobou použitel</w:t>
            </w:r>
            <w:r>
              <w:rPr>
                <w:rFonts w:ascii="Arial" w:hAnsi="Arial"/>
                <w:sz w:val="17"/>
              </w:rPr>
              <w:t>nosti delší než jeden rok a vstupní cenou v rozmezí od 3.00,- do 40.000,- Kč. Majetek s hodnotou nižší než 3.000,- Kč a dobou použitelností delší než 1 rok evidujeme v podrozvahové evidenci. Věcná břemena, kde je obec oprávněna, o nich nebude do částky 40.</w:t>
            </w:r>
            <w:r>
              <w:rPr>
                <w:rFonts w:ascii="Arial" w:hAnsi="Arial"/>
                <w:sz w:val="17"/>
              </w:rPr>
              <w:t>000,- Kč účtovat na účtu 029, bude je pouze analyticky rozlišovat.Technickým zhodnocením se rozumí modernizace, rekonstrukce, nástavby, přístavby, stavební úpravy. Zásobami jsou: skladový materiál (suroviny, pomocné látky, provozovací látky, materiál na op</w:t>
            </w:r>
            <w:r>
              <w:rPr>
                <w:rFonts w:ascii="Arial" w:hAnsi="Arial"/>
                <w:sz w:val="17"/>
              </w:rPr>
              <w:t>ravy), náhladní díly, obaly, movité věci s dobou použitelnosti jeden rok a kratší bez ohledu na pořizovací cenu. Při oceňování zásob postupuje obec v souladu s pravidly stanovenými v prováděcí vyhlášce k zákonu o účetnictví a dále zejména dle ČSÚ. O poříze</w:t>
            </w:r>
            <w:r>
              <w:rPr>
                <w:rFonts w:ascii="Arial" w:hAnsi="Arial"/>
                <w:sz w:val="17"/>
              </w:rPr>
              <w:t>ní a úbytku zásob účtuje obec podle způsobu B. Dle § 11 vyhlášky č. 410/2009 Sb. lesní hospodářské plány, povodňové plány, plány povodí a energetické audity budou považovány za provozní náklad a na majetkových účtech nebudou evidovány, pokud nadřízený orgá</w:t>
            </w:r>
            <w:r>
              <w:rPr>
                <w:rFonts w:ascii="Arial" w:hAnsi="Arial"/>
                <w:sz w:val="17"/>
              </w:rPr>
              <w:t>n nerozhodne jinak nebo poskytovatel dotace (příspěvku) u konkrétních jednotlivých případů (záměr pořízení dlouhodobého majetku).  v Stanovení odpisového plánu: Účetní jednotka provádí čtvrtletní rovnoměrný opis. Na účtu 389 je zaúčtována daň z příjmů práv</w:t>
            </w:r>
            <w:r>
              <w:rPr>
                <w:rFonts w:ascii="Arial" w:hAnsi="Arial"/>
                <w:sz w:val="17"/>
              </w:rPr>
              <w:t>nických osob za obce, kerá byla předběžně  vypočtena takto: účty 601,602,603,604,609,641,644,645,646,647,649,662 se sečetly a od nich se odečetl účet č. 554. Celková částka se zaokrouhlila na tisíce dolů a z výsledné hodnoty se vypočetlo 19% daně. V roce 2</w:t>
            </w:r>
            <w:r>
              <w:rPr>
                <w:rFonts w:ascii="Arial" w:hAnsi="Arial"/>
                <w:sz w:val="17"/>
              </w:rPr>
              <w:t>017 byly uhrazeny pohledávky po splatnosti  za dřevo fa. Tvarůžek z roku 2007 na účtu č. 556 ve výši 41.743,47 Kč. Pohledávka za fa. Tvarůžek činí ještě k 31.12.2017 částku 32.892,96 Kč. V roce 2017 zastupitelsvo obce schválilo na svém 5. ZZO Plán financov</w:t>
            </w:r>
            <w:r>
              <w:rPr>
                <w:rFonts w:ascii="Arial" w:hAnsi="Arial"/>
                <w:sz w:val="17"/>
              </w:rPr>
              <w:t>ání obnovy vodovodu ve výši 20.00,- Kč ročně, který je evidován analiticky na účtu 231 0030/441 0100. Na účtu 041 Nedokončený dlouhodobý nehmotný majetekve výši 21.780,00 Kč evidujeme zhotvení Územního plánu obce u kterého je předpoklad dokončení  koncem r</w:t>
            </w:r>
            <w:r>
              <w:rPr>
                <w:rFonts w:ascii="Arial" w:hAnsi="Arial"/>
                <w:sz w:val="17"/>
              </w:rPr>
              <w:t>oku 2018. Na účtu 042 Nedokončený dlouhodobý hmotný majetek evidujeme výdaje spojené s technickým zhodnocením budovy č.p. 87 - Společenská místnost ve výši 117.060,00 Kč.</w:t>
            </w: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A.4.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o stavu účtů v knize podrozvahových účtů</w:t>
            </w: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7695" w:type="dxa"/>
            <w:tcBorders>
              <w:top w:val="single" w:sz="0" w:space="0" w:color="auto"/>
            </w:tcBorders>
            <w:shd w:val="clear" w:color="auto" w:fill="E3E3E3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Podrozvahový</w:t>
            </w: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667CF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009" w:type="dxa"/>
            <w:gridSpan w:val="2"/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667CFD" w:rsidRDefault="00667CFD">
      <w:pPr>
        <w:sectPr w:rsidR="00667CF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009"/>
        <w:gridCol w:w="785"/>
        <w:gridCol w:w="3141"/>
        <w:gridCol w:w="3141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Majetek a závazky účetní jednotky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523 513,23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459 128,23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nehmotný majetek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6 780,00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6 780,00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Jiný </w:t>
            </w: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457 602,23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393 217,23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pohledávky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905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závazky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906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majetek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59 131,00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59 131,00</w:t>
            </w: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podmíněné pohledávky z transferů a krátkodobé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zahraničních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podmíněné závazky ze zahraničních </w:t>
            </w:r>
            <w:r>
              <w:rPr>
                <w:rFonts w:ascii="Arial" w:hAnsi="Arial"/>
                <w:sz w:val="16"/>
              </w:rPr>
              <w:t>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pohledávky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závazky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podmíněné pohledávky z důvodu </w:t>
            </w:r>
            <w:r>
              <w:rPr>
                <w:rFonts w:ascii="Arial" w:hAnsi="Arial"/>
                <w:sz w:val="16"/>
              </w:rPr>
              <w:t>úplatného užívání majetku jinou osobou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úplatného užívání majetku jinou osobou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925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</w:t>
            </w:r>
            <w:r>
              <w:rPr>
                <w:rFonts w:ascii="Arial" w:hAnsi="Arial"/>
                <w:sz w:val="16"/>
              </w:rPr>
              <w:t>ajetku jinou osobou z jiných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926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P.IV.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pohledávky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sdílených daní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939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sdílených daní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podmíněné </w:t>
            </w:r>
            <w:r>
              <w:rPr>
                <w:rFonts w:ascii="Arial" w:hAnsi="Arial"/>
                <w:sz w:val="16"/>
              </w:rPr>
              <w:t>pohledávky ze vztahu k jiným zdrojům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vztahu k jiným zdrojům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945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947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948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Dlouhodobé podmíněné pohledávky z transferů a dlouhodobé </w:t>
            </w:r>
            <w:r>
              <w:rPr>
                <w:rFonts w:ascii="Arial" w:hAnsi="Arial"/>
                <w:b/>
                <w:sz w:val="16"/>
              </w:rPr>
              <w:t>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1.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zahraničních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</w:t>
            </w:r>
            <w:r>
              <w:rPr>
                <w:rFonts w:ascii="Arial" w:hAnsi="Arial"/>
                <w:sz w:val="16"/>
              </w:rPr>
              <w:t>podmíněné závazky ze zahraničních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pohledávky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závazky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podmíněné </w:t>
            </w:r>
            <w:r>
              <w:rPr>
                <w:rFonts w:ascii="Arial" w:hAnsi="Arial"/>
                <w:sz w:val="16"/>
              </w:rPr>
              <w:t>závazky z operativního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operativního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finančního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finančního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podmíněné závazky </w:t>
            </w:r>
            <w:r>
              <w:rPr>
                <w:rFonts w:ascii="Arial" w:hAnsi="Arial"/>
                <w:sz w:val="16"/>
              </w:rPr>
              <w:t>z důvodu užívání cizího majetku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965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nebo jeho převzetí z j</w:t>
            </w:r>
            <w:r>
              <w:rPr>
                <w:rFonts w:ascii="Arial" w:hAnsi="Arial"/>
                <w:sz w:val="16"/>
              </w:rPr>
              <w:t>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závazky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</w:t>
            </w:r>
            <w:r>
              <w:rPr>
                <w:rFonts w:ascii="Arial" w:hAnsi="Arial"/>
                <w:sz w:val="16"/>
              </w:rPr>
              <w:t>podmíněné závazky ze smluv o pořízení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přijatého kolaterálu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975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</w:t>
            </w:r>
            <w:r>
              <w:rPr>
                <w:rFonts w:ascii="Arial" w:hAnsi="Arial"/>
                <w:sz w:val="16"/>
              </w:rPr>
              <w:t>podmíněné závazky z přijatého kolaterálu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976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vyplývající z práv.předp.a další činn.moci zákonod.,výkon. nebo soudní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vyplývající z práv.předp.a další činn.moci zákonod.,výkon. nebo so</w:t>
            </w:r>
            <w:r>
              <w:rPr>
                <w:rFonts w:ascii="Arial" w:hAnsi="Arial"/>
                <w:sz w:val="16"/>
              </w:rPr>
              <w:t>udní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jednorázových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jednorázových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ostatních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</w:t>
            </w:r>
            <w:r>
              <w:rPr>
                <w:rFonts w:ascii="Arial" w:hAnsi="Arial"/>
                <w:sz w:val="16"/>
              </w:rPr>
              <w:t>podmíněné závazky z poskytnutých garancí ostatních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986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podmíněná aktiva a ostatní podmíněná pasiva a vyrovnávací účty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aktiva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aktiva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pasiva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pasiva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5.</w:t>
            </w:r>
          </w:p>
        </w:tc>
        <w:tc>
          <w:tcPr>
            <w:tcW w:w="800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Vyrovnávací účet k podrozvahovým účtům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523 513,23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459 128,23</w:t>
            </w:r>
          </w:p>
        </w:tc>
      </w:tr>
    </w:tbl>
    <w:p w:rsidR="00667CFD" w:rsidRDefault="00667CFD">
      <w:pPr>
        <w:sectPr w:rsidR="00667CF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A.5.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18 odst. 3 písm. b) zákona</w:t>
            </w:r>
          </w:p>
        </w:tc>
      </w:tr>
      <w:tr w:rsidR="00667CFD">
        <w:trPr>
          <w:cantSplit/>
        </w:trPr>
        <w:tc>
          <w:tcPr>
            <w:tcW w:w="1570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A.6.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19 odst. 6 zákona</w:t>
            </w:r>
          </w:p>
        </w:tc>
      </w:tr>
    </w:tbl>
    <w:p w:rsidR="00667CFD" w:rsidRDefault="00667CFD">
      <w:pPr>
        <w:sectPr w:rsidR="00667CFD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667CFD">
        <w:trPr>
          <w:cantSplit/>
        </w:trPr>
        <w:tc>
          <w:tcPr>
            <w:tcW w:w="15704" w:type="dxa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CFD">
        <w:trPr>
          <w:cantSplit/>
        </w:trPr>
        <w:tc>
          <w:tcPr>
            <w:tcW w:w="15704" w:type="dxa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B.1.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6</w:t>
            </w:r>
          </w:p>
        </w:tc>
      </w:tr>
    </w:tbl>
    <w:p w:rsidR="00667CFD" w:rsidRDefault="00667CFD">
      <w:pPr>
        <w:sectPr w:rsidR="00667CFD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667CFD">
        <w:trPr>
          <w:cantSplit/>
        </w:trPr>
        <w:tc>
          <w:tcPr>
            <w:tcW w:w="15704" w:type="dxa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CFD">
        <w:trPr>
          <w:cantSplit/>
        </w:trPr>
        <w:tc>
          <w:tcPr>
            <w:tcW w:w="15704" w:type="dxa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B.2.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8</w:t>
            </w:r>
          </w:p>
        </w:tc>
      </w:tr>
    </w:tbl>
    <w:p w:rsidR="00667CFD" w:rsidRDefault="00667CFD">
      <w:pPr>
        <w:sectPr w:rsidR="00667CFD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667CFD">
        <w:trPr>
          <w:cantSplit/>
        </w:trPr>
        <w:tc>
          <w:tcPr>
            <w:tcW w:w="15704" w:type="dxa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CFD">
        <w:trPr>
          <w:cantSplit/>
        </w:trPr>
        <w:tc>
          <w:tcPr>
            <w:tcW w:w="15704" w:type="dxa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B.3.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68 odst. 3</w:t>
            </w:r>
          </w:p>
        </w:tc>
      </w:tr>
    </w:tbl>
    <w:p w:rsidR="00667CFD" w:rsidRDefault="00667CFD">
      <w:pPr>
        <w:sectPr w:rsidR="00667CFD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667CFD">
        <w:trPr>
          <w:cantSplit/>
        </w:trPr>
        <w:tc>
          <w:tcPr>
            <w:tcW w:w="1570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" w:type="dxa"/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14134" w:type="dxa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7"/>
        <w:gridCol w:w="8637"/>
        <w:gridCol w:w="3141"/>
        <w:gridCol w:w="3141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C.</w:t>
            </w:r>
          </w:p>
        </w:tc>
        <w:tc>
          <w:tcPr>
            <w:tcW w:w="15076" w:type="dxa"/>
            <w:gridSpan w:val="4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 xml:space="preserve">Doplňující informace k položkám rozvahy </w:t>
            </w:r>
            <w:r>
              <w:rPr>
                <w:rFonts w:ascii="Arial" w:hAnsi="Arial"/>
                <w:b/>
                <w:color w:val="000080"/>
                <w:sz w:val="20"/>
              </w:rPr>
              <w:t>"C.I.1 Jmění účetní jednotky" a "C.I.3. Transfery na pořízení dlouhodobého majetku"</w:t>
            </w:r>
          </w:p>
        </w:tc>
      </w:tr>
      <w:tr w:rsidR="00667CFD">
        <w:trPr>
          <w:cantSplit/>
        </w:trPr>
        <w:tc>
          <w:tcPr>
            <w:tcW w:w="15704" w:type="dxa"/>
            <w:gridSpan w:val="5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637" w:type="dxa"/>
            <w:tcBorders>
              <w:top w:val="single" w:sz="0" w:space="0" w:color="auto"/>
            </w:tcBorders>
            <w:shd w:val="clear" w:color="auto" w:fill="E3E3E3"/>
          </w:tcPr>
          <w:p w:rsidR="00667CFD" w:rsidRDefault="00667CFD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667CFD">
        <w:trPr>
          <w:cantSplit/>
        </w:trPr>
        <w:tc>
          <w:tcPr>
            <w:tcW w:w="785" w:type="dxa"/>
            <w:gridSpan w:val="2"/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637" w:type="dxa"/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667CFD" w:rsidRDefault="00667CFD">
      <w:pPr>
        <w:sectPr w:rsidR="00667CFD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7"/>
        <w:gridCol w:w="3141"/>
        <w:gridCol w:w="3141"/>
      </w:tblGrid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C.1.</w:t>
            </w:r>
          </w:p>
        </w:tc>
        <w:tc>
          <w:tcPr>
            <w:tcW w:w="8637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Zvýšení stavu transferů na pořízení dlouhodobého majetku za běžné </w:t>
            </w:r>
            <w:r>
              <w:rPr>
                <w:rFonts w:ascii="Arial" w:hAnsi="Arial"/>
                <w:sz w:val="16"/>
              </w:rPr>
              <w:t>účetní období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294 166,00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C.2.</w:t>
            </w:r>
          </w:p>
        </w:tc>
        <w:tc>
          <w:tcPr>
            <w:tcW w:w="8637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stavu transferů na pořízení dlouhodobého majetku ve věcné a časové souvislosti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15 475,63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15 636,93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D.1.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Počet jednotlivých věcí a souborů majetku nebo seznam tohoto majetku</w:t>
            </w:r>
          </w:p>
        </w:tc>
      </w:tr>
    </w:tbl>
    <w:p w:rsidR="00667CFD" w:rsidRDefault="00667CFD">
      <w:pPr>
        <w:sectPr w:rsidR="00667CFD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667CFD">
        <w:trPr>
          <w:cantSplit/>
        </w:trPr>
        <w:tc>
          <w:tcPr>
            <w:tcW w:w="1570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" w:type="dxa"/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14134" w:type="dxa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D.2.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Celková výměra lesních pozemků s lesním porostem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1492748.00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D.3.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 xml:space="preserve">Výše ocenění celkové výměry lesních pozemků s lesním porostem ve výši </w:t>
            </w:r>
            <w:r>
              <w:rPr>
                <w:rFonts w:ascii="Arial" w:hAnsi="Arial"/>
                <w:b/>
                <w:color w:val="000080"/>
                <w:sz w:val="20"/>
              </w:rPr>
              <w:t>57 Kč/m2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85086636.00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D.4.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Výměra lesních pozemků s lesním porostem oceněných jiným způsobem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D.5.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lesních pozemků s lesním porostem oceněných jiným způsobem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D.6.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Průměrná výše ocenění výměry lesních pozemků s lesním porostem</w:t>
            </w:r>
            <w:r>
              <w:rPr>
                <w:rFonts w:ascii="Arial" w:hAnsi="Arial"/>
                <w:b/>
                <w:color w:val="000080"/>
                <w:sz w:val="20"/>
              </w:rPr>
              <w:t xml:space="preserve"> oceněných jiným způsobem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D.7.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Komentář k ocenění lesních pozemků jiným způsobem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1413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E.1.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667CFD" w:rsidRDefault="00667CFD">
      <w:pPr>
        <w:sectPr w:rsidR="00667CFD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E.2.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 xml:space="preserve">Doplňující informace k </w:t>
            </w:r>
            <w:r>
              <w:rPr>
                <w:rFonts w:ascii="Arial" w:hAnsi="Arial"/>
                <w:b/>
                <w:color w:val="000080"/>
                <w:sz w:val="20"/>
              </w:rPr>
              <w:t>položkám výkazu zisku a ztráty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667CFD" w:rsidRDefault="00667CFD">
      <w:pPr>
        <w:sectPr w:rsidR="00667CFD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E.3.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peněžních tocích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667CFD" w:rsidRDefault="00667CFD">
      <w:pPr>
        <w:sectPr w:rsidR="00667CFD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E.4.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změnách vlastního kapitálu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667CFD" w:rsidRDefault="00667CFD">
      <w:pPr>
        <w:sectPr w:rsidR="00667CFD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5"/>
        <w:gridCol w:w="3141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F.</w:t>
            </w:r>
          </w:p>
        </w:tc>
        <w:tc>
          <w:tcPr>
            <w:tcW w:w="15076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fondům účetní jednotky</w:t>
            </w:r>
          </w:p>
        </w:tc>
      </w:tr>
      <w:tr w:rsidR="00667CFD">
        <w:trPr>
          <w:cantSplit/>
        </w:trPr>
        <w:tc>
          <w:tcPr>
            <w:tcW w:w="15704" w:type="dxa"/>
            <w:gridSpan w:val="3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5076" w:type="dxa"/>
            <w:gridSpan w:val="2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Ostatní fondy - </w:t>
            </w:r>
            <w:r>
              <w:rPr>
                <w:rFonts w:ascii="Arial" w:hAnsi="Arial"/>
                <w:b/>
                <w:color w:val="000080"/>
                <w:sz w:val="16"/>
              </w:rPr>
              <w:t>územní samosprávné celky, svazky obcí, regionální rady regionů soudržnosti</w:t>
            </w:r>
          </w:p>
        </w:tc>
      </w:tr>
      <w:tr w:rsidR="00667CFD">
        <w:trPr>
          <w:cantSplit/>
        </w:trPr>
        <w:tc>
          <w:tcPr>
            <w:tcW w:w="15704" w:type="dxa"/>
            <w:gridSpan w:val="3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2563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shd w:val="clear" w:color="auto" w:fill="E3E3E3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11935" w:type="dxa"/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3141" w:type="dxa"/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ÚČETNÍ OBDOBÍ</w:t>
            </w:r>
          </w:p>
        </w:tc>
      </w:tr>
    </w:tbl>
    <w:p w:rsidR="00667CFD" w:rsidRDefault="00667CFD">
      <w:pPr>
        <w:sectPr w:rsidR="00667CFD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5"/>
        <w:gridCol w:w="3141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Tvorba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193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Přebytky hospodaření z minulých let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193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běžného roku, které nejsou určeny k využití v běžném roce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193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1193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tvorba fondu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Čerpání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G.IV.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Konečný stav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3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667CFD" w:rsidRDefault="00667CFD">
      <w:pPr>
        <w:sectPr w:rsidR="00667CFD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G.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"A.II.3. Stavby" výkazu rozvahy</w:t>
            </w: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tcBorders>
              <w:top w:val="single" w:sz="0" w:space="0" w:color="auto"/>
            </w:tcBorders>
            <w:shd w:val="clear" w:color="auto" w:fill="E3E3E3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667CF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1" w:type="dxa"/>
            <w:shd w:val="clear" w:color="auto" w:fill="E3E3E3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9" w:type="dxa"/>
            <w:tcBorders>
              <w:bottom w:val="single" w:sz="0" w:space="0" w:color="auto"/>
            </w:tcBorders>
            <w:shd w:val="clear" w:color="auto" w:fill="E3E3E3"/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667CF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1" w:type="dxa"/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9" w:type="dxa"/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Stavby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20 921 385,02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6 833 820,00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14 087 565,02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14 290 819,20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G.1.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domy a bytové jednotky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2 980 000,00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1 354 664,00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1 625 336,00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1 664 036,00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G.2.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 pro služby obyvatelstvu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5 110 707,47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1 922 610,00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3 188 097,47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3 264 009,47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G.3.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nebytové domy a nebytové jednotky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G.4.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Komunikace a veřejné osvětlení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5 768 840,26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1 458 902,00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4 309 938,26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4 418 402,26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G.5.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inženýrské sítě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2 938 536,67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1 427 234,00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1 511 302,67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1 539 978,67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G.6.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stavby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4 123 300,62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670 410,00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3 452 890,62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3 404 392,80</w:t>
            </w: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H.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"A.II.1. Pozemky" výkazu rozvahy</w:t>
            </w: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tcBorders>
              <w:top w:val="single" w:sz="0" w:space="0" w:color="auto"/>
            </w:tcBorders>
            <w:shd w:val="clear" w:color="auto" w:fill="E3E3E3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667CF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1" w:type="dxa"/>
            <w:shd w:val="clear" w:color="auto" w:fill="E3E3E3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9" w:type="dxa"/>
            <w:tcBorders>
              <w:bottom w:val="single" w:sz="0" w:space="0" w:color="auto"/>
            </w:tcBorders>
            <w:shd w:val="clear" w:color="auto" w:fill="E3E3E3"/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667CF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1" w:type="dxa"/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9" w:type="dxa"/>
            <w:shd w:val="clear" w:color="auto" w:fill="E3E3E3"/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Pozemky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11 187 978,02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11 187 978,02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11 187 978,02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H.1.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Stavební pozemky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H.2.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Lesní pozemky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7 480 473,51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7 480 473,51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7 480 473,51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H.3.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Zahrady, pastviny, louky, rybníky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1 233 389,38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1 233 389,38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1 233 389,38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H.4.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Zastavěná plocha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2 287 001,44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2 287 001,44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2 287 001,44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H.5.</w:t>
            </w:r>
          </w:p>
        </w:tc>
        <w:tc>
          <w:tcPr>
            <w:tcW w:w="628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pozemky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187 113,69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187 113,69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187 113,69</w:t>
            </w:r>
          </w:p>
        </w:tc>
      </w:tr>
      <w:tr w:rsidR="00667CFD">
        <w:trPr>
          <w:cantSplit/>
        </w:trPr>
        <w:tc>
          <w:tcPr>
            <w:tcW w:w="15704" w:type="dxa"/>
            <w:gridSpan w:val="6"/>
          </w:tcPr>
          <w:p w:rsidR="00667CFD" w:rsidRDefault="00667CF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101"/>
          <w:footerReference w:type="default" r:id="rId102"/>
          <w:headerReference w:type="first" r:id="rId103"/>
          <w:footerReference w:type="first" r:id="rId10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667CFD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 xml:space="preserve">I. Doplňující informace k položce "A.II.4. Náklady z </w:t>
            </w:r>
            <w:r>
              <w:rPr>
                <w:rFonts w:ascii="Arial" w:hAnsi="Arial"/>
                <w:b/>
                <w:color w:val="000080"/>
                <w:sz w:val="20"/>
              </w:rPr>
              <w:t>přecenění reálnou hodnotou" výkazu zisku a ztráty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667CF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4" w:type="dxa"/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667CFD" w:rsidRDefault="00667CFD">
      <w:pPr>
        <w:sectPr w:rsidR="00667CFD">
          <w:headerReference w:type="default" r:id="rId105"/>
          <w:footerReference w:type="default" r:id="rId106"/>
          <w:headerReference w:type="first" r:id="rId107"/>
          <w:footerReference w:type="first" r:id="rId10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přecenění reálnou hodnotou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I.1.</w:t>
            </w:r>
          </w:p>
        </w:tc>
        <w:tc>
          <w:tcPr>
            <w:tcW w:w="8794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 majetku určeného</w:t>
            </w:r>
            <w:r>
              <w:rPr>
                <w:rFonts w:ascii="Arial" w:hAnsi="Arial"/>
                <w:sz w:val="16"/>
              </w:rPr>
              <w:t xml:space="preserve"> k prodeji podle § 64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I.2.</w:t>
            </w:r>
          </w:p>
        </w:tc>
        <w:tc>
          <w:tcPr>
            <w:tcW w:w="8794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přecenění reálnou hodnotou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667CFD" w:rsidRDefault="00667CFD">
      <w:pPr>
        <w:sectPr w:rsidR="00667CFD">
          <w:headerReference w:type="default" r:id="rId109"/>
          <w:footerReference w:type="default" r:id="rId110"/>
          <w:headerReference w:type="first" r:id="rId111"/>
          <w:footerReference w:type="first" r:id="rId1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J. Doplňující informace k položce "B.II.4. Výnosy z přecenění reálnou hodnotou" výkazu zisku a ztráty</w:t>
            </w:r>
          </w:p>
        </w:tc>
      </w:tr>
      <w:tr w:rsidR="00667CFD">
        <w:trPr>
          <w:cantSplit/>
        </w:trPr>
        <w:tc>
          <w:tcPr>
            <w:tcW w:w="15704" w:type="dxa"/>
            <w:gridSpan w:val="4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667CF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4" w:type="dxa"/>
            <w:shd w:val="clear" w:color="auto" w:fill="E3E3E3"/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667CFD" w:rsidRDefault="00667CFD">
      <w:pPr>
        <w:sectPr w:rsidR="00667CFD">
          <w:headerReference w:type="default" r:id="rId113"/>
          <w:footerReference w:type="default" r:id="rId114"/>
          <w:headerReference w:type="first" r:id="rId115"/>
          <w:footerReference w:type="first" r:id="rId1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J.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Výnosy z přecenění </w:t>
            </w:r>
            <w:r>
              <w:rPr>
                <w:rFonts w:ascii="Arial" w:hAnsi="Arial"/>
                <w:b/>
                <w:sz w:val="16"/>
              </w:rPr>
              <w:t>reálnou hodnotou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65 135,04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J.1.</w:t>
            </w:r>
          </w:p>
        </w:tc>
        <w:tc>
          <w:tcPr>
            <w:tcW w:w="8794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 majetku určeného k prodeji podle § 64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65 135,04</w:t>
            </w:r>
          </w:p>
        </w:tc>
      </w:tr>
      <w:tr w:rsidR="00667CFD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J.2.</w:t>
            </w:r>
          </w:p>
        </w:tc>
        <w:tc>
          <w:tcPr>
            <w:tcW w:w="8794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přecenění reálnou hodnotou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667CFD" w:rsidRDefault="00667CF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667CFD" w:rsidRDefault="00667CFD">
      <w:pPr>
        <w:sectPr w:rsidR="00667CFD">
          <w:headerReference w:type="default" r:id="rId117"/>
          <w:footerReference w:type="default" r:id="rId118"/>
          <w:headerReference w:type="first" r:id="rId119"/>
          <w:footerReference w:type="first" r:id="rId1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667CFD">
        <w:trPr>
          <w:cantSplit/>
        </w:trPr>
        <w:tc>
          <w:tcPr>
            <w:tcW w:w="1570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K.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poskytnutým garancím</w:t>
            </w:r>
          </w:p>
        </w:tc>
      </w:tr>
    </w:tbl>
    <w:p w:rsidR="00667CFD" w:rsidRDefault="00667CFD">
      <w:pPr>
        <w:sectPr w:rsidR="00667CFD">
          <w:headerReference w:type="default" r:id="rId121"/>
          <w:footerReference w:type="default" r:id="rId122"/>
          <w:headerReference w:type="first" r:id="rId123"/>
          <w:footerReference w:type="first" r:id="rId12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4919"/>
      </w:tblGrid>
      <w:tr w:rsidR="00667CFD">
        <w:trPr>
          <w:cantSplit/>
        </w:trPr>
        <w:tc>
          <w:tcPr>
            <w:tcW w:w="1570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K.1.</w:t>
            </w:r>
          </w:p>
        </w:tc>
        <w:tc>
          <w:tcPr>
            <w:tcW w:w="14919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Doplňující informace k poskytnutým garancím jednorázovým</w:t>
            </w:r>
          </w:p>
        </w:tc>
      </w:tr>
      <w:tr w:rsidR="00667CFD">
        <w:trPr>
          <w:cantSplit/>
        </w:trPr>
        <w:tc>
          <w:tcPr>
            <w:tcW w:w="1570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K.2.</w:t>
            </w:r>
          </w:p>
        </w:tc>
        <w:tc>
          <w:tcPr>
            <w:tcW w:w="14919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Doplňující informace k poskytnutým garancím ostatním</w:t>
            </w:r>
          </w:p>
        </w:tc>
      </w:tr>
      <w:tr w:rsidR="00667CFD">
        <w:trPr>
          <w:cantSplit/>
        </w:trPr>
        <w:tc>
          <w:tcPr>
            <w:tcW w:w="1570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667CFD">
        <w:trPr>
          <w:cantSplit/>
        </w:trPr>
        <w:tc>
          <w:tcPr>
            <w:tcW w:w="15704" w:type="dxa"/>
            <w:gridSpan w:val="2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 xml:space="preserve">Poznámky </w:t>
            </w:r>
            <w:r>
              <w:rPr>
                <w:rFonts w:ascii="Arial" w:hAnsi="Arial"/>
                <w:b/>
                <w:i/>
                <w:sz w:val="14"/>
              </w:rPr>
              <w:t>k vyplnění: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sloupce</w:t>
            </w:r>
          </w:p>
        </w:tc>
        <w:tc>
          <w:tcPr>
            <w:tcW w:w="1491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Poznámka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1491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IČ je identifikační číslo osoby (číselný kód k jednoznačné identifikaci subjektu), které jí bylo přiděleno Českým statistickým úřadem, Obchodním rejstříkem nebo živnostenským úřadem. IČ by mělo být unikátní. V tomto </w:t>
            </w:r>
            <w:r>
              <w:rPr>
                <w:rFonts w:ascii="Arial" w:hAnsi="Arial"/>
                <w:i/>
                <w:sz w:val="14"/>
              </w:rPr>
              <w:t>sloupci uvede účetní jednotka IČ osoby (účetní jednotky), v jejíž prospěch byla garance poskytnuta.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1491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nebo obchodní jméno účetní jednotky, v jejíž prospěch byla garance poskytnuta. Název představuje označení, pod kterým účetní jednotka provozuje svo</w:t>
            </w:r>
            <w:r>
              <w:rPr>
                <w:rFonts w:ascii="Arial" w:hAnsi="Arial"/>
                <w:i/>
                <w:sz w:val="14"/>
              </w:rPr>
              <w:t>ji činnost.Obchodním jménem účetní jednotky zapsané do obchodního rejstříku je obchodní firma.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1491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IČ je identifikační číslo osoby (číselný kód k jednoznačné identifikaci subjektu), které jí bylo přiděleno Českým statistickým úřadem, Obchodním rejstříkem ne</w:t>
            </w:r>
            <w:r>
              <w:rPr>
                <w:rFonts w:ascii="Arial" w:hAnsi="Arial"/>
                <w:i/>
                <w:sz w:val="14"/>
              </w:rPr>
              <w:t>bo živnostenským úřadem. IČ by mělo být unikátní.  V tomto sloupci uvede účetní jednotka IČ účetní jednotky (účetní jednotky), za jejíž závazek byla garance poskytnuta.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</w:t>
            </w:r>
          </w:p>
        </w:tc>
        <w:tc>
          <w:tcPr>
            <w:tcW w:w="1491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nebo obchodní jméno účetní jednotky, za jejíž závazek byla poskytnuta garance.</w:t>
            </w:r>
            <w:r>
              <w:rPr>
                <w:rFonts w:ascii="Arial" w:hAnsi="Arial"/>
                <w:i/>
                <w:sz w:val="14"/>
              </w:rPr>
              <w:t xml:space="preserve"> Název představuje označení, pod kterým účetní jednotka provozuje svoji činnost.Obchodním jménem účetní jednotky zapsáné do obchodního rejstříku je obchodní firma.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5</w:t>
            </w:r>
          </w:p>
        </w:tc>
        <w:tc>
          <w:tcPr>
            <w:tcW w:w="1491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Datumem poskytnutí garance se rozumí její zachycení v podrozvaze. Okamžikem vzniku podmín</w:t>
            </w:r>
            <w:r>
              <w:rPr>
                <w:rFonts w:ascii="Arial" w:hAnsi="Arial"/>
                <w:i/>
                <w:sz w:val="14"/>
              </w:rPr>
              <w:t>ěného závazku se rozumí den poskytnutí písemného prohlášení ručitele věřiteli o ručení za závazky dlužníka vůči věřiteli (včetně podpisu avalu směnky), není-li dohodnuto jinak, podpisu záruční listiny, schválení zákona o poskytnutí záruky Českou republikou</w:t>
            </w:r>
            <w:r>
              <w:rPr>
                <w:rFonts w:ascii="Arial" w:hAnsi="Arial"/>
                <w:i/>
                <w:sz w:val="14"/>
              </w:rPr>
              <w:t>.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</w:t>
            </w:r>
          </w:p>
        </w:tc>
        <w:tc>
          <w:tcPr>
            <w:tcW w:w="1491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Výše zajištěné pohledávky k aktuálnímu či poslednímu rozvahovému dni.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</w:t>
            </w:r>
          </w:p>
        </w:tc>
        <w:tc>
          <w:tcPr>
            <w:tcW w:w="1491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Den a měsíc účetního období, za které je sestavována účetní závěrka, a v němž došlo k plnění vyplývajícímu z garance. Plněním se rozumí realizace garance, neboli úplné či </w:t>
            </w:r>
            <w:r>
              <w:rPr>
                <w:rFonts w:ascii="Arial" w:hAnsi="Arial"/>
                <w:i/>
                <w:sz w:val="14"/>
              </w:rPr>
              <w:t>částečné převzetí dluhu za původního dlužníka z titulu poskytnuté garance, neboť dlužník není schopen splatit pohledávku vznikou ručiteli z realizace garance.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8</w:t>
            </w:r>
          </w:p>
        </w:tc>
        <w:tc>
          <w:tcPr>
            <w:tcW w:w="1491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 uhrazené pohledávky z titulu ručení či záruky v účetním období, za které je sestavována</w:t>
            </w:r>
            <w:r>
              <w:rPr>
                <w:rFonts w:ascii="Arial" w:hAnsi="Arial"/>
                <w:i/>
                <w:sz w:val="14"/>
              </w:rPr>
              <w:t xml:space="preserve"> podrozvaha.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</w:t>
            </w:r>
          </w:p>
        </w:tc>
        <w:tc>
          <w:tcPr>
            <w:tcW w:w="1491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Souhrn dosavadních plnění (úhrad realizovaných ručitelem) z titulu konkrétního ručení či záruky.</w:t>
            </w:r>
          </w:p>
        </w:tc>
      </w:tr>
      <w:tr w:rsidR="00667CFD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</w:t>
            </w:r>
          </w:p>
        </w:tc>
        <w:tc>
          <w:tcPr>
            <w:tcW w:w="1491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jednotka uvede číslo dle následujícího výčtu: 1 - Půjčky (zápůjčky), úvěry, návratné finanční výpomoci, 2 - Dluhové cenné papíry (vč</w:t>
            </w:r>
            <w:r>
              <w:rPr>
                <w:rFonts w:ascii="Arial" w:hAnsi="Arial"/>
                <w:i/>
                <w:sz w:val="14"/>
              </w:rPr>
              <w:t>etně směnek),3 - Přijaté vklady a depozita, 4 - Ostatní dlouhodobé závazky.</w:t>
            </w:r>
          </w:p>
        </w:tc>
      </w:tr>
    </w:tbl>
    <w:p w:rsidR="00667CFD" w:rsidRDefault="00667CFD">
      <w:pPr>
        <w:sectPr w:rsidR="00667CFD">
          <w:headerReference w:type="default" r:id="rId125"/>
          <w:footerReference w:type="default" r:id="rId126"/>
          <w:headerReference w:type="first" r:id="rId127"/>
          <w:footerReference w:type="first" r:id="rId12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667CF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L.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o projektech partnerství veřejného a soukromého sektoru</w:t>
            </w:r>
          </w:p>
        </w:tc>
      </w:tr>
      <w:tr w:rsidR="00667CFD">
        <w:trPr>
          <w:cantSplit/>
        </w:trPr>
        <w:tc>
          <w:tcPr>
            <w:tcW w:w="15704" w:type="dxa"/>
            <w:gridSpan w:val="2"/>
          </w:tcPr>
          <w:p w:rsidR="00667CFD" w:rsidRDefault="00667CF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667CFD" w:rsidRDefault="00667CFD">
      <w:pPr>
        <w:sectPr w:rsidR="00667CFD">
          <w:headerReference w:type="default" r:id="rId129"/>
          <w:footerReference w:type="default" r:id="rId130"/>
          <w:headerReference w:type="first" r:id="rId131"/>
          <w:footerReference w:type="first" r:id="rId13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14605"/>
      </w:tblGrid>
      <w:tr w:rsidR="00667CFD">
        <w:trPr>
          <w:cantSplit/>
        </w:trPr>
        <w:tc>
          <w:tcPr>
            <w:tcW w:w="15704" w:type="dxa"/>
            <w:gridSpan w:val="2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Poznámky k vyplnění:</w:t>
            </w:r>
          </w:p>
        </w:tc>
      </w:tr>
      <w:tr w:rsidR="00667CFD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sloupce</w:t>
            </w:r>
          </w:p>
        </w:tc>
        <w:tc>
          <w:tcPr>
            <w:tcW w:w="1460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Poznámka</w:t>
            </w:r>
          </w:p>
        </w:tc>
      </w:tr>
      <w:tr w:rsidR="00667CFD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1460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a název veřejné zakázky, jak je uveden ve Věstníku veřejných zakázek.</w:t>
            </w:r>
          </w:p>
        </w:tc>
      </w:tr>
      <w:tr w:rsidR="00667CFD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1460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Podle charakteru služeb, které jsou předmětem veřejné zakázky, uvede účetní jednotka </w:t>
            </w:r>
            <w:r>
              <w:rPr>
                <w:rFonts w:ascii="Arial" w:hAnsi="Arial"/>
                <w:i/>
                <w:sz w:val="14"/>
              </w:rPr>
              <w:t>odpovídající písmenné označení z následujícího výčtu: A - Dopravní infrastruktura,B - Vzdělávání a související služby, C - Vodovody, kanalizace a nakládání s odpady, D - Sociální služby, E - Zdravotnické služby, F - Teplo, energie, G - Ostatní.</w:t>
            </w:r>
          </w:p>
        </w:tc>
      </w:tr>
      <w:tr w:rsidR="00667CFD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 až 7</w:t>
            </w:r>
          </w:p>
        </w:tc>
        <w:tc>
          <w:tcPr>
            <w:tcW w:w="1460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Pře</w:t>
            </w:r>
            <w:r>
              <w:rPr>
                <w:rFonts w:ascii="Arial" w:hAnsi="Arial"/>
                <w:i/>
                <w:sz w:val="14"/>
              </w:rPr>
              <w:t>dpokládaný nebo skutečný rok zahájení a rok ukončení stavby, pokud je stavba součástí předmětné veřejné zakázky.</w:t>
            </w:r>
          </w:p>
        </w:tc>
      </w:tr>
      <w:tr w:rsidR="00667CFD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 až 12</w:t>
            </w:r>
          </w:p>
        </w:tc>
        <w:tc>
          <w:tcPr>
            <w:tcW w:w="1460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Skutečné náklady dodavatele na pořízení majetku v jednotlivých letech.</w:t>
            </w:r>
          </w:p>
        </w:tc>
      </w:tr>
      <w:tr w:rsidR="00667CFD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13</w:t>
            </w:r>
          </w:p>
        </w:tc>
        <w:tc>
          <w:tcPr>
            <w:tcW w:w="1460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Skutečné náklady na pořízení majetku v celkové výši od uzav</w:t>
            </w:r>
            <w:r>
              <w:rPr>
                <w:rFonts w:ascii="Arial" w:hAnsi="Arial"/>
                <w:i/>
                <w:sz w:val="14"/>
              </w:rPr>
              <w:t>ření smlouvy.</w:t>
            </w:r>
          </w:p>
        </w:tc>
      </w:tr>
      <w:tr w:rsidR="00667CFD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14 a 15</w:t>
            </w:r>
          </w:p>
        </w:tc>
        <w:tc>
          <w:tcPr>
            <w:tcW w:w="1460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Rok zahájení a rok ukončení plateb poskytovaných účetní jednotkou dodavateli.</w:t>
            </w:r>
          </w:p>
        </w:tc>
      </w:tr>
      <w:tr w:rsidR="00667CFD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16,18,20,22</w:t>
            </w:r>
          </w:p>
        </w:tc>
        <w:tc>
          <w:tcPr>
            <w:tcW w:w="1460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Celkové platby za dostupnost hrazené účetní jednotkou dodavateli. Obvykle zahrnují tak zvanou servisní složku, úhradu nákladů na pořízení </w:t>
            </w:r>
            <w:r>
              <w:rPr>
                <w:rFonts w:ascii="Arial" w:hAnsi="Arial"/>
                <w:i/>
                <w:sz w:val="14"/>
              </w:rPr>
              <w:t>majetku, úhradu nákladů na externí dluhové financování a další.</w:t>
            </w:r>
          </w:p>
        </w:tc>
      </w:tr>
      <w:tr w:rsidR="00667CFD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17,19,21,23</w:t>
            </w:r>
          </w:p>
        </w:tc>
        <w:tc>
          <w:tcPr>
            <w:tcW w:w="1460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Investiční složka platby za dostupnost, neboli výdaje na pořízení majetku v jednotlivých letech.</w:t>
            </w:r>
          </w:p>
        </w:tc>
      </w:tr>
      <w:tr w:rsidR="00667CFD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24</w:t>
            </w:r>
          </w:p>
        </w:tc>
        <w:tc>
          <w:tcPr>
            <w:tcW w:w="1460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Celkové výdaje na pořízení majetku v platbách za dostupnost.</w:t>
            </w:r>
          </w:p>
        </w:tc>
      </w:tr>
      <w:tr w:rsidR="00667CFD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25 až 29</w:t>
            </w:r>
          </w:p>
        </w:tc>
        <w:tc>
          <w:tcPr>
            <w:tcW w:w="14605" w:type="dxa"/>
            <w:tcMar>
              <w:top w:w="30" w:type="dxa"/>
              <w:bottom w:w="30" w:type="dxa"/>
            </w:tcMar>
          </w:tcPr>
          <w:p w:rsidR="00667CFD" w:rsidRDefault="00C34BD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Další p</w:t>
            </w:r>
            <w:r>
              <w:rPr>
                <w:rFonts w:ascii="Arial" w:hAnsi="Arial"/>
                <w:i/>
                <w:sz w:val="14"/>
              </w:rPr>
              <w:t>lnění zadavatele v souvislosti s projektem (například nákup pozemků, úvěr poskytnutý dodavateli a další).</w:t>
            </w:r>
          </w:p>
        </w:tc>
      </w:tr>
    </w:tbl>
    <w:p w:rsidR="00667CFD" w:rsidRDefault="00667CFD">
      <w:pPr>
        <w:sectPr w:rsidR="00667CFD">
          <w:headerReference w:type="default" r:id="rId133"/>
          <w:footerReference w:type="default" r:id="rId134"/>
          <w:headerReference w:type="first" r:id="rId135"/>
          <w:footerReference w:type="first" r:id="rId13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667CFD">
        <w:trPr>
          <w:cantSplit/>
        </w:trPr>
        <w:tc>
          <w:tcPr>
            <w:tcW w:w="15704" w:type="dxa"/>
          </w:tcPr>
          <w:p w:rsidR="00667CFD" w:rsidRDefault="00C34BD4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C34BD4" w:rsidRDefault="00C34BD4"/>
    <w:sectPr w:rsidR="00C34BD4">
      <w:headerReference w:type="default" r:id="rId137"/>
      <w:footerReference w:type="default" r:id="rId138"/>
      <w:headerReference w:type="first" r:id="rId139"/>
      <w:footerReference w:type="first" r:id="rId140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D4" w:rsidRDefault="00C34BD4">
      <w:pPr>
        <w:spacing w:after="0" w:line="240" w:lineRule="auto"/>
      </w:pPr>
      <w:r>
        <w:separator/>
      </w:r>
    </w:p>
  </w:endnote>
  <w:endnote w:type="continuationSeparator" w:id="0">
    <w:p w:rsidR="00C34BD4" w:rsidRDefault="00C3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UCR </w:t>
          </w:r>
          <w:r>
            <w:rPr>
              <w:rFonts w:ascii="Arial" w:hAnsi="Arial"/>
              <w:i/>
              <w:sz w:val="14"/>
            </w:rPr>
            <w:t>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UCR GORDIC </w:t>
          </w:r>
          <w:r>
            <w:rPr>
              <w:rFonts w:ascii="Arial" w:hAnsi="Arial"/>
              <w:i/>
              <w:sz w:val="14"/>
            </w:rPr>
            <w:t>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UCR GORDIC spol. s r. </w:t>
          </w:r>
          <w:r>
            <w:rPr>
              <w:rFonts w:ascii="Arial" w:hAnsi="Arial"/>
              <w:i/>
              <w:sz w:val="14"/>
            </w:rPr>
            <w:t>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14.02.2018 </w:t>
          </w:r>
          <w:r>
            <w:rPr>
              <w:rFonts w:ascii="Arial" w:hAnsi="Arial"/>
              <w:i/>
              <w:sz w:val="14"/>
            </w:rPr>
            <w:t>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14.02.2018 </w:t>
          </w:r>
          <w:r>
            <w:rPr>
              <w:rFonts w:ascii="Arial" w:hAnsi="Arial"/>
              <w:i/>
              <w:sz w:val="14"/>
            </w:rPr>
            <w:t>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UCR </w:t>
          </w:r>
          <w:r>
            <w:rPr>
              <w:rFonts w:ascii="Arial" w:hAnsi="Arial"/>
              <w:i/>
              <w:sz w:val="14"/>
            </w:rPr>
            <w:t>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14.02.2018 </w:t>
          </w:r>
          <w:r>
            <w:rPr>
              <w:rFonts w:ascii="Arial" w:hAnsi="Arial"/>
              <w:i/>
              <w:sz w:val="14"/>
            </w:rPr>
            <w:t>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UCR GORDIC </w:t>
          </w:r>
          <w:r>
            <w:rPr>
              <w:rFonts w:ascii="Arial" w:hAnsi="Arial"/>
              <w:i/>
              <w:sz w:val="14"/>
            </w:rPr>
            <w:t>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</w:t>
          </w:r>
          <w:r>
            <w:rPr>
              <w:rFonts w:ascii="Arial" w:hAnsi="Arial"/>
              <w:i/>
              <w:sz w:val="14"/>
            </w:rPr>
            <w:t xml:space="preserve">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UCR GORDIC spol. </w:t>
          </w:r>
          <w:r>
            <w:rPr>
              <w:rFonts w:ascii="Arial" w:hAnsi="Arial"/>
              <w:i/>
              <w:sz w:val="14"/>
            </w:rPr>
            <w:t>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UCR </w:t>
          </w:r>
          <w:r>
            <w:rPr>
              <w:rFonts w:ascii="Arial" w:hAnsi="Arial"/>
              <w:i/>
              <w:sz w:val="14"/>
            </w:rPr>
            <w:t>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14.02.2018 </w:t>
          </w:r>
          <w:r>
            <w:rPr>
              <w:rFonts w:ascii="Arial" w:hAnsi="Arial"/>
              <w:i/>
              <w:sz w:val="14"/>
            </w:rPr>
            <w:t>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AB69F0">
            <w:rPr>
              <w:rFonts w:ascii="Arial" w:hAnsi="Arial"/>
              <w:i/>
              <w:sz w:val="14"/>
            </w:rPr>
            <w:fldChar w:fldCharType="separate"/>
          </w:r>
          <w:r w:rsidR="00AB69F0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14.02.2018 12h36m36s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D4" w:rsidRDefault="00C34BD4">
      <w:pPr>
        <w:spacing w:after="0" w:line="240" w:lineRule="auto"/>
      </w:pPr>
      <w:r>
        <w:separator/>
      </w:r>
    </w:p>
  </w:footnote>
  <w:footnote w:type="continuationSeparator" w:id="0">
    <w:p w:rsidR="00C34BD4" w:rsidRDefault="00C3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15704" w:type="dxa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B.1.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 xml:space="preserve">Informace </w:t>
          </w:r>
          <w:r>
            <w:rPr>
              <w:rFonts w:ascii="Arial" w:hAnsi="Arial"/>
              <w:b/>
              <w:color w:val="000080"/>
              <w:sz w:val="20"/>
            </w:rPr>
            <w:t>podle § 66 odst. 6</w:t>
          </w: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B.2.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66 odst. 8</w:t>
          </w: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15704" w:type="dxa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Licence: </w:t>
          </w:r>
          <w:r>
            <w:rPr>
              <w:rFonts w:ascii="Arial" w:hAnsi="Arial"/>
              <w:i/>
              <w:sz w:val="14"/>
            </w:rPr>
            <w:t>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B.3.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68 odst. 3</w:t>
          </w: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7"/>
      <w:gridCol w:w="2041"/>
      <w:gridCol w:w="6596"/>
      <w:gridCol w:w="3141"/>
      <w:gridCol w:w="3141"/>
    </w:tblGrid>
    <w:tr w:rsidR="00667CFD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6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C.</w:t>
          </w:r>
        </w:p>
      </w:tc>
      <w:tc>
        <w:tcPr>
          <w:tcW w:w="0" w:type="auto"/>
          <w:gridSpan w:val="5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"C.I.1 Jmění účetní jednotky" a "C.I.3. Transfery na pořízení dlouhodobého majetku"</w:t>
          </w:r>
        </w:p>
      </w:tc>
    </w:tr>
    <w:tr w:rsidR="00667CFD">
      <w:trPr>
        <w:cantSplit/>
      </w:trPr>
      <w:tc>
        <w:tcPr>
          <w:tcW w:w="0" w:type="auto"/>
          <w:gridSpan w:val="6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667CFD" w:rsidRDefault="00667CF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67CFD">
      <w:trPr>
        <w:cantSplit/>
      </w:trPr>
      <w:tc>
        <w:tcPr>
          <w:tcW w:w="0" w:type="auto"/>
          <w:gridSpan w:val="2"/>
          <w:shd w:val="clear" w:color="auto" w:fill="E3E3E3"/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D.1.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Počet jednotlivých věcí a souborů majetku nebo seznam tohoto majetku</w:t>
          </w: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15704" w:type="dxa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XCRGUPXA / </w:t>
          </w:r>
          <w:r>
            <w:rPr>
              <w:rFonts w:ascii="Arial" w:hAnsi="Arial"/>
              <w:i/>
              <w:sz w:val="14"/>
            </w:rPr>
            <w:t>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497"/>
      <w:gridCol w:w="314"/>
      <w:gridCol w:w="785"/>
      <w:gridCol w:w="3141"/>
      <w:gridCol w:w="3141"/>
    </w:tblGrid>
    <w:tr w:rsidR="00667CFD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5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15704" w:type="dxa"/>
          <w:gridSpan w:val="7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A.4.</w:t>
          </w:r>
        </w:p>
      </w:tc>
      <w:tc>
        <w:tcPr>
          <w:tcW w:w="15076" w:type="dxa"/>
          <w:gridSpan w:val="6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 xml:space="preserve">Informace podle </w:t>
          </w:r>
          <w:r>
            <w:rPr>
              <w:rFonts w:ascii="Arial" w:hAnsi="Arial"/>
              <w:b/>
              <w:color w:val="000080"/>
              <w:sz w:val="20"/>
            </w:rPr>
            <w:t>§ 7 odst. 5 zákona o stavu účtů v knize podrozvahových účtů</w:t>
          </w:r>
        </w:p>
      </w:tc>
    </w:tr>
    <w:tr w:rsidR="00667CFD">
      <w:trPr>
        <w:cantSplit/>
      </w:trPr>
      <w:tc>
        <w:tcPr>
          <w:tcW w:w="15704" w:type="dxa"/>
          <w:gridSpan w:val="7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7695" w:type="dxa"/>
          <w:gridSpan w:val="2"/>
          <w:tcBorders>
            <w:top w:val="single" w:sz="0" w:space="0" w:color="auto"/>
          </w:tcBorders>
          <w:shd w:val="clear" w:color="auto" w:fill="E3E3E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Podrozvahový</w:t>
          </w:r>
        </w:p>
      </w:tc>
      <w:tc>
        <w:tcPr>
          <w:tcW w:w="62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67CFD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009" w:type="dxa"/>
          <w:gridSpan w:val="3"/>
          <w:shd w:val="clear" w:color="auto" w:fill="E3E3E3"/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3141" w:type="dxa"/>
          <w:tcBorders>
            <w:left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9737"/>
      <w:gridCol w:w="3141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4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30" w:type="dxa"/>
            <w:bottom w:w="30" w:type="dxa"/>
          </w:tcMar>
        </w:tcPr>
        <w:p w:rsidR="00667CFD" w:rsidRDefault="00C34BD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F.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fondům účetní jednotky</w:t>
          </w:r>
        </w:p>
      </w:tc>
    </w:tr>
    <w:tr w:rsidR="00667CFD">
      <w:trPr>
        <w:cantSplit/>
      </w:trPr>
      <w:tc>
        <w:tcPr>
          <w:tcW w:w="0" w:type="auto"/>
          <w:gridSpan w:val="4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shd w:val="clear" w:color="auto" w:fill="E3E3E3"/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ÚČETNÍ OBDOBÍ</w:t>
          </w: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4083"/>
      <w:gridCol w:w="2199"/>
      <w:gridCol w:w="2198"/>
      <w:gridCol w:w="2199"/>
      <w:gridCol w:w="2199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7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G.</w:t>
          </w:r>
        </w:p>
      </w:tc>
      <w:tc>
        <w:tcPr>
          <w:tcW w:w="0" w:type="auto"/>
          <w:gridSpan w:val="6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 xml:space="preserve">Doplňující </w:t>
          </w:r>
          <w:r>
            <w:rPr>
              <w:rFonts w:ascii="Arial" w:hAnsi="Arial"/>
              <w:b/>
              <w:color w:val="000080"/>
              <w:sz w:val="20"/>
            </w:rPr>
            <w:t>informace k položce "A.II.3. Stavby" výkazu rozvahy</w:t>
          </w:r>
        </w:p>
      </w:tc>
    </w:tr>
    <w:tr w:rsidR="00667CFD">
      <w:trPr>
        <w:cantSplit/>
      </w:trPr>
      <w:tc>
        <w:tcPr>
          <w:tcW w:w="0" w:type="auto"/>
          <w:gridSpan w:val="7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67CF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67CFD" w:rsidRDefault="00667CF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667CFD" w:rsidRDefault="00667CF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667CF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667CFD" w:rsidRDefault="00667CF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gridSpan w:val="7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4083"/>
      <w:gridCol w:w="2199"/>
      <w:gridCol w:w="2198"/>
      <w:gridCol w:w="2199"/>
      <w:gridCol w:w="2199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7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gridSpan w:val="7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67CF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67CFD" w:rsidRDefault="00667CF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667CFD" w:rsidRDefault="00667CF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667CF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667CFD" w:rsidRDefault="00667CF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gridSpan w:val="7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XCRGUPXA / PXA  </w:t>
          </w:r>
          <w:r>
            <w:rPr>
              <w:rFonts w:ascii="Arial" w:hAnsi="Arial"/>
              <w:i/>
              <w:sz w:val="14"/>
            </w:rPr>
            <w:t>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6596"/>
      <w:gridCol w:w="3141"/>
      <w:gridCol w:w="3141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5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gridSpan w:val="5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 xml:space="preserve">I. Doplňující </w:t>
          </w:r>
          <w:r>
            <w:rPr>
              <w:rFonts w:ascii="Arial" w:hAnsi="Arial"/>
              <w:b/>
              <w:color w:val="000080"/>
              <w:sz w:val="20"/>
            </w:rPr>
            <w:t>informace k položce "A.II.4. Náklady z přecenění reálnou hodnotou" výkazu zisku a ztráty</w:t>
          </w:r>
        </w:p>
      </w:tc>
    </w:tr>
    <w:tr w:rsidR="00667CFD">
      <w:trPr>
        <w:cantSplit/>
      </w:trPr>
      <w:tc>
        <w:tcPr>
          <w:tcW w:w="0" w:type="auto"/>
          <w:gridSpan w:val="5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67CF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6596"/>
      <w:gridCol w:w="3141"/>
      <w:gridCol w:w="3141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5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gridSpan w:val="5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67CF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667CFD" w:rsidRDefault="00C34BD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15704" w:type="dxa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XCRGUPXA / </w:t>
          </w:r>
          <w:r>
            <w:rPr>
              <w:rFonts w:ascii="Arial" w:hAnsi="Arial"/>
              <w:i/>
              <w:sz w:val="14"/>
            </w:rPr>
            <w:t>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K.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 xml:space="preserve">Doplňující </w:t>
          </w:r>
          <w:r>
            <w:rPr>
              <w:rFonts w:ascii="Arial" w:hAnsi="Arial"/>
              <w:b/>
              <w:color w:val="000080"/>
              <w:sz w:val="20"/>
            </w:rPr>
            <w:t>informace k poskytnutým garancím</w:t>
          </w:r>
        </w:p>
      </w:tc>
    </w:tr>
  </w:tbl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</w:t>
          </w:r>
          <w:r>
            <w:rPr>
              <w:rFonts w:ascii="Arial" w:hAnsi="Arial"/>
              <w:i/>
              <w:sz w:val="14"/>
            </w:rPr>
            <w:t xml:space="preserve"> 01012017)</w:t>
          </w:r>
        </w:p>
      </w:tc>
    </w:tr>
    <w:tr w:rsidR="00667CFD">
      <w:trPr>
        <w:cantSplit/>
      </w:trPr>
      <w:tc>
        <w:tcPr>
          <w:tcW w:w="0" w:type="auto"/>
          <w:gridSpan w:val="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L.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o projektech partnerství veřejného a soukromého sektoru</w:t>
          </w:r>
        </w:p>
      </w:tc>
    </w:tr>
    <w:tr w:rsidR="00667CFD">
      <w:trPr>
        <w:cantSplit/>
      </w:trPr>
      <w:tc>
        <w:tcPr>
          <w:tcW w:w="0" w:type="auto"/>
          <w:gridSpan w:val="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667CF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2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667CF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667CFD" w:rsidRDefault="00C34BD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(01012017 / 01012017)</w:t>
          </w:r>
        </w:p>
      </w:tc>
    </w:tr>
    <w:tr w:rsidR="00667CFD">
      <w:trPr>
        <w:cantSplit/>
      </w:trPr>
      <w:tc>
        <w:tcPr>
          <w:tcW w:w="0" w:type="auto"/>
          <w:gridSpan w:val="3"/>
        </w:tcPr>
        <w:p w:rsidR="00667CFD" w:rsidRDefault="00667CF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67CF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A.6.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67CFD" w:rsidRDefault="00C34BD4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19 odst. 6 zákona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34BD4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FD"/>
    <w:rsid w:val="00667CFD"/>
    <w:rsid w:val="00AB69F0"/>
    <w:rsid w:val="00C3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2B528-5533-4AA4-9E86-C24FE96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38" Type="http://schemas.openxmlformats.org/officeDocument/2006/relationships/footer" Target="footer66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28" Type="http://schemas.openxmlformats.org/officeDocument/2006/relationships/footer" Target="footer61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34" Type="http://schemas.openxmlformats.org/officeDocument/2006/relationships/footer" Target="footer64.xml"/><Relationship Id="rId139" Type="http://schemas.openxmlformats.org/officeDocument/2006/relationships/header" Target="header67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124" Type="http://schemas.openxmlformats.org/officeDocument/2006/relationships/footer" Target="footer59.xml"/><Relationship Id="rId129" Type="http://schemas.openxmlformats.org/officeDocument/2006/relationships/header" Target="header62.xml"/><Relationship Id="rId137" Type="http://schemas.openxmlformats.org/officeDocument/2006/relationships/header" Target="header66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40" Type="http://schemas.openxmlformats.org/officeDocument/2006/relationships/footer" Target="footer6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30" Type="http://schemas.openxmlformats.org/officeDocument/2006/relationships/footer" Target="footer62.xml"/><Relationship Id="rId135" Type="http://schemas.openxmlformats.org/officeDocument/2006/relationships/header" Target="header65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header" Target="header60.xml"/><Relationship Id="rId141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5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26" Type="http://schemas.openxmlformats.org/officeDocument/2006/relationships/footer" Target="footer60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2462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3</cp:revision>
  <dcterms:created xsi:type="dcterms:W3CDTF">2018-02-14T11:37:00Z</dcterms:created>
  <dcterms:modified xsi:type="dcterms:W3CDTF">2018-02-14T11:37:00Z</dcterms:modified>
</cp:coreProperties>
</file>