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2F72D" w14:textId="77777777" w:rsidR="009E4A59" w:rsidRDefault="009E4A59" w:rsidP="0001435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9024405" w14:textId="0012E474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08CB6D57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</w:t>
      </w:r>
      <w:proofErr w:type="gramStart"/>
      <w:r w:rsidRPr="00014356">
        <w:rPr>
          <w:rFonts w:ascii="Times New Roman" w:hAnsi="Times New Roman"/>
          <w:sz w:val="20"/>
        </w:rPr>
        <w:t>e-mail:divci.kopy@volny.cz</w:t>
      </w:r>
      <w:proofErr w:type="gramEnd"/>
      <w:r w:rsidRPr="00014356">
        <w:rPr>
          <w:rFonts w:ascii="Times New Roman" w:hAnsi="Times New Roman"/>
          <w:sz w:val="20"/>
        </w:rPr>
        <w:t xml:space="preserve">         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790988A8" w14:textId="7D2C1F3D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20B7680A" w14:textId="371F16D5" w:rsidR="00065CDE" w:rsidRDefault="00065CDE" w:rsidP="00014356">
      <w:pPr>
        <w:ind w:left="6372" w:hanging="6372"/>
        <w:rPr>
          <w:rFonts w:ascii="Times New Roman" w:hAnsi="Times New Roman"/>
          <w:sz w:val="20"/>
        </w:rPr>
      </w:pPr>
    </w:p>
    <w:p w14:paraId="3EBBC2FE" w14:textId="44346D67" w:rsidR="00065CDE" w:rsidRDefault="00065CDE" w:rsidP="00014356">
      <w:pPr>
        <w:ind w:left="6372" w:hanging="6372"/>
        <w:rPr>
          <w:rFonts w:ascii="Times New Roman" w:hAnsi="Times New Roman"/>
          <w:sz w:val="20"/>
        </w:rPr>
      </w:pPr>
    </w:p>
    <w:p w14:paraId="616B9081" w14:textId="01252517" w:rsidR="00065CDE" w:rsidRPr="00065CDE" w:rsidRDefault="00065CDE" w:rsidP="00065CDE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65CDE">
        <w:rPr>
          <w:rFonts w:ascii="Times New Roman" w:hAnsi="Times New Roman"/>
          <w:b/>
          <w:sz w:val="28"/>
          <w:szCs w:val="28"/>
        </w:rPr>
        <w:t>Obecně závazná vyh</w:t>
      </w:r>
      <w:r w:rsidR="003B538D">
        <w:rPr>
          <w:rFonts w:ascii="Times New Roman" w:hAnsi="Times New Roman"/>
          <w:b/>
          <w:sz w:val="28"/>
          <w:szCs w:val="28"/>
        </w:rPr>
        <w:t>láška č.2</w:t>
      </w:r>
      <w:r w:rsidRPr="00065CDE">
        <w:rPr>
          <w:rFonts w:ascii="Times New Roman" w:hAnsi="Times New Roman"/>
          <w:b/>
          <w:sz w:val="28"/>
          <w:szCs w:val="28"/>
        </w:rPr>
        <w:t>/2018</w:t>
      </w:r>
    </w:p>
    <w:p w14:paraId="2A55EE2C" w14:textId="24CE6D1D" w:rsidR="00065CDE" w:rsidRPr="00065CDE" w:rsidRDefault="00065CDE" w:rsidP="003B538D">
      <w:pPr>
        <w:ind w:left="6372" w:hanging="6372"/>
        <w:jc w:val="center"/>
        <w:rPr>
          <w:rFonts w:ascii="Times New Roman" w:hAnsi="Times New Roman"/>
          <w:b/>
          <w:sz w:val="20"/>
          <w:szCs w:val="20"/>
        </w:rPr>
      </w:pPr>
      <w:r w:rsidRPr="00065CDE">
        <w:rPr>
          <w:rFonts w:ascii="Times New Roman" w:hAnsi="Times New Roman"/>
          <w:b/>
          <w:sz w:val="28"/>
          <w:szCs w:val="28"/>
        </w:rPr>
        <w:t xml:space="preserve"> </w:t>
      </w:r>
      <w:r w:rsidR="004C74FF">
        <w:rPr>
          <w:rFonts w:ascii="Times New Roman" w:hAnsi="Times New Roman"/>
          <w:b/>
          <w:sz w:val="28"/>
          <w:szCs w:val="28"/>
        </w:rPr>
        <w:t>o místním poplatku z ubytovací kapacity</w:t>
      </w:r>
    </w:p>
    <w:p w14:paraId="1E61B2AB" w14:textId="3DFA6358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6F775066" w14:textId="27E4DB16" w:rsidR="00C64A9F" w:rsidRDefault="00C64A9F" w:rsidP="00F92502">
      <w:pPr>
        <w:rPr>
          <w:rFonts w:ascii="Times New Roman" w:hAnsi="Times New Roman"/>
        </w:rPr>
      </w:pPr>
    </w:p>
    <w:p w14:paraId="11B597D6" w14:textId="042F7C34" w:rsidR="00065CDE" w:rsidRPr="00316457" w:rsidRDefault="00065CDE" w:rsidP="00316457">
      <w:pPr>
        <w:pStyle w:val="Odstavecseseznamem"/>
        <w:rPr>
          <w:sz w:val="22"/>
          <w:szCs w:val="22"/>
        </w:rPr>
      </w:pPr>
      <w:r w:rsidRPr="00316457">
        <w:rPr>
          <w:sz w:val="22"/>
          <w:szCs w:val="22"/>
        </w:rPr>
        <w:t>Zastupitelstvo obce Dív</w:t>
      </w:r>
      <w:r w:rsidR="009E4A59">
        <w:rPr>
          <w:sz w:val="22"/>
          <w:szCs w:val="22"/>
        </w:rPr>
        <w:t xml:space="preserve">čí Kopy na svém zasedání ze dne 29.12.2018 </w:t>
      </w:r>
      <w:r w:rsidRPr="00316457">
        <w:rPr>
          <w:sz w:val="22"/>
          <w:szCs w:val="22"/>
        </w:rPr>
        <w:t>usnesením č</w:t>
      </w:r>
      <w:r w:rsidR="009E4A59">
        <w:rPr>
          <w:sz w:val="22"/>
          <w:szCs w:val="22"/>
        </w:rPr>
        <w:t>. 3</w:t>
      </w:r>
      <w:r w:rsidRPr="00316457">
        <w:rPr>
          <w:sz w:val="22"/>
          <w:szCs w:val="22"/>
        </w:rPr>
        <w:t xml:space="preserve"> usneslo vydat na základě § 14 odst. 2 zákona č. 565/1990 Sb., o místních poplatcích, ve znění pozdějších předpisů, a v souladu s § 10 písm. d) a § 84 odst. 2 písm. h) zákona č. 128/2000 Sb., o obcích (obecní zřízení), ve znění pozdějších předpisů, tuto obecně závaznou vyhlášku (dále jen „vyhláška</w:t>
      </w:r>
      <w:proofErr w:type="gramStart"/>
      <w:r w:rsidRPr="00316457">
        <w:rPr>
          <w:sz w:val="22"/>
          <w:szCs w:val="22"/>
        </w:rPr>
        <w:t>“ )</w:t>
      </w:r>
      <w:proofErr w:type="gramEnd"/>
      <w:r w:rsidRPr="00316457">
        <w:rPr>
          <w:sz w:val="22"/>
          <w:szCs w:val="22"/>
        </w:rPr>
        <w:t xml:space="preserve"> :</w:t>
      </w:r>
    </w:p>
    <w:p w14:paraId="7ABE5F51" w14:textId="77777777" w:rsidR="007D6785" w:rsidRPr="002B668D" w:rsidRDefault="007D6785" w:rsidP="007D6785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45B9FCF" w14:textId="77777777" w:rsidR="007D6785" w:rsidRPr="002B668D" w:rsidRDefault="007D6785" w:rsidP="007D6785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7A0EBA50" w14:textId="120F5EAF" w:rsidR="007D6785" w:rsidRPr="00AF4786" w:rsidRDefault="007D6785" w:rsidP="00687ECD">
      <w:pPr>
        <w:pStyle w:val="Odstavecseseznamem"/>
        <w:numPr>
          <w:ilvl w:val="0"/>
          <w:numId w:val="1"/>
        </w:numPr>
        <w:spacing w:line="288" w:lineRule="auto"/>
        <w:rPr>
          <w:sz w:val="22"/>
          <w:szCs w:val="22"/>
        </w:rPr>
      </w:pPr>
      <w:r w:rsidRPr="00AF4786">
        <w:rPr>
          <w:sz w:val="22"/>
          <w:szCs w:val="22"/>
        </w:rPr>
        <w:t>Obec Dívčí Kopy touto vyhláškou zavádí místní poplatek z ubytovací kapacity (dále jen „poplatek“).</w:t>
      </w:r>
    </w:p>
    <w:p w14:paraId="220E817B" w14:textId="68EF1329" w:rsidR="007D6785" w:rsidRPr="00AF4786" w:rsidRDefault="007D6785" w:rsidP="00687ECD">
      <w:pPr>
        <w:pStyle w:val="Odstavecseseznamem"/>
        <w:numPr>
          <w:ilvl w:val="0"/>
          <w:numId w:val="1"/>
        </w:numPr>
        <w:spacing w:before="120" w:line="288" w:lineRule="auto"/>
        <w:rPr>
          <w:sz w:val="22"/>
          <w:szCs w:val="22"/>
        </w:rPr>
      </w:pPr>
      <w:r w:rsidRPr="00AF4786">
        <w:rPr>
          <w:sz w:val="22"/>
          <w:szCs w:val="22"/>
        </w:rPr>
        <w:t>Řízení o poplatcích vykonává obecní úřad Dívčí Kopy (dále jen „správce poplatku“).</w:t>
      </w:r>
      <w:r w:rsidRPr="00AF4786">
        <w:rPr>
          <w:sz w:val="22"/>
          <w:szCs w:val="22"/>
          <w:vertAlign w:val="superscript"/>
        </w:rPr>
        <w:footnoteReference w:id="1"/>
      </w:r>
    </w:p>
    <w:p w14:paraId="218A0D3F" w14:textId="77777777" w:rsidR="007D6785" w:rsidRPr="007C250A" w:rsidRDefault="007D6785" w:rsidP="007D6785">
      <w:pPr>
        <w:pStyle w:val="slalnk"/>
        <w:spacing w:before="480"/>
        <w:rPr>
          <w:rFonts w:ascii="Arial" w:hAnsi="Arial" w:cs="Arial"/>
        </w:rPr>
      </w:pPr>
      <w:r w:rsidRPr="007C250A">
        <w:rPr>
          <w:rFonts w:ascii="Arial" w:hAnsi="Arial" w:cs="Arial"/>
        </w:rPr>
        <w:t>Čl</w:t>
      </w:r>
      <w:r>
        <w:rPr>
          <w:rFonts w:ascii="Arial" w:hAnsi="Arial" w:cs="Arial"/>
        </w:rPr>
        <w:t>.</w:t>
      </w:r>
      <w:r w:rsidRPr="007C250A">
        <w:rPr>
          <w:rFonts w:ascii="Arial" w:hAnsi="Arial" w:cs="Arial"/>
        </w:rPr>
        <w:t xml:space="preserve"> 2</w:t>
      </w:r>
    </w:p>
    <w:p w14:paraId="482B0141" w14:textId="77777777" w:rsidR="007D6785" w:rsidRPr="007C250A" w:rsidRDefault="007D6785" w:rsidP="007D6785">
      <w:pPr>
        <w:pStyle w:val="Nzvylnk"/>
        <w:rPr>
          <w:rFonts w:ascii="Arial" w:hAnsi="Arial" w:cs="Arial"/>
        </w:rPr>
      </w:pPr>
      <w:r w:rsidRPr="007C250A">
        <w:rPr>
          <w:rFonts w:ascii="Arial" w:hAnsi="Arial" w:cs="Arial"/>
        </w:rPr>
        <w:t xml:space="preserve">Předmět </w:t>
      </w:r>
      <w:r w:rsidRPr="0044221B">
        <w:rPr>
          <w:rFonts w:ascii="Arial" w:hAnsi="Arial" w:cs="Arial"/>
        </w:rPr>
        <w:t xml:space="preserve">poplatku </w:t>
      </w:r>
      <w:r w:rsidRPr="001F1331">
        <w:rPr>
          <w:rFonts w:ascii="Arial" w:hAnsi="Arial" w:cs="Arial"/>
        </w:rPr>
        <w:t>a</w:t>
      </w:r>
      <w:r w:rsidRPr="0044221B">
        <w:rPr>
          <w:rFonts w:ascii="Arial" w:hAnsi="Arial" w:cs="Arial"/>
        </w:rPr>
        <w:t xml:space="preserve"> poplatník</w:t>
      </w:r>
    </w:p>
    <w:p w14:paraId="34DBEC83" w14:textId="2B4486BB" w:rsidR="007D6785" w:rsidRPr="00AF4786" w:rsidRDefault="007D6785" w:rsidP="00687ECD">
      <w:pPr>
        <w:pStyle w:val="Odstavecseseznamem"/>
        <w:numPr>
          <w:ilvl w:val="0"/>
          <w:numId w:val="2"/>
        </w:numPr>
        <w:spacing w:before="120" w:line="288" w:lineRule="auto"/>
        <w:rPr>
          <w:sz w:val="22"/>
          <w:szCs w:val="22"/>
        </w:rPr>
      </w:pPr>
      <w:r w:rsidRPr="00AF4786">
        <w:rPr>
          <w:sz w:val="22"/>
          <w:szCs w:val="22"/>
        </w:rPr>
        <w:t>Poplatek z ubytovací kapacity se vybírá v obcích a městech v zařízeních určených k přechodnému ubytování za úplatu.</w:t>
      </w:r>
      <w:r w:rsidRPr="00AF4786">
        <w:rPr>
          <w:sz w:val="22"/>
          <w:szCs w:val="22"/>
          <w:vertAlign w:val="superscript"/>
        </w:rPr>
        <w:footnoteReference w:id="2"/>
      </w:r>
    </w:p>
    <w:p w14:paraId="740D2585" w14:textId="69CFE1C6" w:rsidR="007D6785" w:rsidRPr="00AF4786" w:rsidRDefault="007D6785" w:rsidP="00687ECD">
      <w:pPr>
        <w:pStyle w:val="Odstavecseseznamem"/>
        <w:numPr>
          <w:ilvl w:val="0"/>
          <w:numId w:val="2"/>
        </w:numPr>
        <w:spacing w:before="120" w:line="288" w:lineRule="auto"/>
        <w:rPr>
          <w:sz w:val="22"/>
          <w:szCs w:val="22"/>
        </w:rPr>
      </w:pPr>
      <w:r w:rsidRPr="00AF4786">
        <w:rPr>
          <w:sz w:val="22"/>
          <w:szCs w:val="22"/>
        </w:rPr>
        <w:t>Poplatek platí ubytovatel, kterým je fyzická nebo právnická osoba, která přechodné ubytování poskytla (dále jen „poplatník“).</w:t>
      </w:r>
    </w:p>
    <w:p w14:paraId="3765478B" w14:textId="77777777" w:rsidR="007D6785" w:rsidRPr="007C250A" w:rsidRDefault="007D6785" w:rsidP="007D6785">
      <w:pPr>
        <w:pStyle w:val="slalnk"/>
        <w:spacing w:before="480"/>
        <w:rPr>
          <w:rFonts w:ascii="Arial" w:hAnsi="Arial" w:cs="Arial"/>
        </w:rPr>
      </w:pPr>
      <w:r w:rsidRPr="007C250A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43766C73" w14:textId="77777777" w:rsidR="007D6785" w:rsidRPr="007C250A" w:rsidRDefault="007D6785" w:rsidP="007D6785">
      <w:pPr>
        <w:pStyle w:val="Nzvylnk"/>
        <w:rPr>
          <w:rFonts w:ascii="Arial" w:hAnsi="Arial" w:cs="Arial"/>
        </w:rPr>
      </w:pPr>
      <w:r w:rsidRPr="007C250A">
        <w:rPr>
          <w:rFonts w:ascii="Arial" w:hAnsi="Arial" w:cs="Arial"/>
        </w:rPr>
        <w:t>Ohlašovací povinnost</w:t>
      </w:r>
    </w:p>
    <w:p w14:paraId="312B4029" w14:textId="433AD924" w:rsidR="007D6785" w:rsidRPr="00AF4786" w:rsidRDefault="007D6785" w:rsidP="00687ECD">
      <w:pPr>
        <w:pStyle w:val="Odstavecseseznamem"/>
        <w:numPr>
          <w:ilvl w:val="0"/>
          <w:numId w:val="3"/>
        </w:numPr>
        <w:spacing w:before="120" w:line="288" w:lineRule="auto"/>
        <w:rPr>
          <w:sz w:val="22"/>
          <w:szCs w:val="22"/>
        </w:rPr>
      </w:pPr>
      <w:r w:rsidRPr="00AF4786">
        <w:rPr>
          <w:sz w:val="22"/>
          <w:szCs w:val="22"/>
        </w:rPr>
        <w:t>Poplatník je povinen ohlásit správci poplatku vznik své poplatkové povinnosti do 15 dnů od zahájení činnosti spočívající v poskytování přechodného ubytování za úplatu v zařízeních určených k přechodnému ubytování. Ve stejné lhůtě ohlásí poplatník správci poplatku ukončení činnosti spočívající v poskytování přechodného ubytování za úplatu</w:t>
      </w:r>
    </w:p>
    <w:p w14:paraId="63492A34" w14:textId="57627BFF" w:rsidR="007D6785" w:rsidRPr="00AF4786" w:rsidRDefault="007D6785" w:rsidP="00687ECD">
      <w:pPr>
        <w:pStyle w:val="Odstavecseseznamem"/>
        <w:numPr>
          <w:ilvl w:val="0"/>
          <w:numId w:val="3"/>
        </w:numPr>
        <w:spacing w:before="120" w:line="288" w:lineRule="auto"/>
        <w:rPr>
          <w:sz w:val="22"/>
          <w:szCs w:val="22"/>
        </w:rPr>
      </w:pPr>
      <w:r w:rsidRPr="00AF4786">
        <w:rPr>
          <w:sz w:val="22"/>
          <w:szCs w:val="22"/>
        </w:rPr>
        <w:t>V ohlášení poplatník uvede</w:t>
      </w:r>
      <w:r w:rsidRPr="00AF4786">
        <w:rPr>
          <w:rStyle w:val="Znakapoznpodarou"/>
          <w:rFonts w:eastAsiaTheme="majorEastAsia"/>
          <w:sz w:val="22"/>
          <w:szCs w:val="22"/>
        </w:rPr>
        <w:footnoteReference w:id="3"/>
      </w:r>
    </w:p>
    <w:p w14:paraId="08E4E768" w14:textId="0BB96129" w:rsidR="007D6785" w:rsidRPr="00AF4786" w:rsidRDefault="007D6785" w:rsidP="00687ECD">
      <w:pPr>
        <w:pStyle w:val="Odstavecseseznamem"/>
        <w:numPr>
          <w:ilvl w:val="0"/>
          <w:numId w:val="4"/>
        </w:numPr>
        <w:spacing w:before="60" w:line="288" w:lineRule="auto"/>
        <w:rPr>
          <w:sz w:val="22"/>
          <w:szCs w:val="22"/>
        </w:rPr>
      </w:pPr>
      <w:r w:rsidRPr="00AF4786">
        <w:rPr>
          <w:sz w:val="22"/>
          <w:szCs w:val="22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14:paraId="508E4471" w14:textId="371D99CD" w:rsidR="007D6785" w:rsidRDefault="007D6785" w:rsidP="00687ECD">
      <w:pPr>
        <w:pStyle w:val="Odstavecseseznamem"/>
        <w:numPr>
          <w:ilvl w:val="0"/>
          <w:numId w:val="4"/>
        </w:numPr>
        <w:spacing w:before="60" w:line="288" w:lineRule="auto"/>
        <w:rPr>
          <w:sz w:val="22"/>
          <w:szCs w:val="22"/>
        </w:rPr>
      </w:pPr>
      <w:r w:rsidRPr="00AF4786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5A21722" w14:textId="4BAA9DA4" w:rsidR="00316457" w:rsidRDefault="00316457" w:rsidP="00316457">
      <w:pPr>
        <w:spacing w:before="60" w:line="288" w:lineRule="auto"/>
      </w:pPr>
    </w:p>
    <w:p w14:paraId="6B6E7956" w14:textId="0831D381" w:rsidR="00316457" w:rsidRDefault="00316457" w:rsidP="00316457">
      <w:pPr>
        <w:spacing w:before="60" w:line="288" w:lineRule="auto"/>
      </w:pPr>
    </w:p>
    <w:p w14:paraId="7A8BA7B1" w14:textId="77777777" w:rsidR="00316457" w:rsidRPr="00316457" w:rsidRDefault="00316457" w:rsidP="00316457">
      <w:pPr>
        <w:spacing w:before="60" w:line="288" w:lineRule="auto"/>
      </w:pPr>
    </w:p>
    <w:p w14:paraId="7CE47DB6" w14:textId="0A9CD7C8" w:rsidR="007D6785" w:rsidRPr="00AF4786" w:rsidRDefault="007D6785" w:rsidP="00687ECD">
      <w:pPr>
        <w:pStyle w:val="Odstavecseseznamem"/>
        <w:numPr>
          <w:ilvl w:val="0"/>
          <w:numId w:val="4"/>
        </w:numPr>
        <w:spacing w:before="60" w:line="288" w:lineRule="auto"/>
        <w:rPr>
          <w:sz w:val="22"/>
          <w:szCs w:val="22"/>
        </w:rPr>
      </w:pPr>
      <w:r w:rsidRPr="00AF4786">
        <w:rPr>
          <w:sz w:val="22"/>
          <w:szCs w:val="22"/>
        </w:rPr>
        <w:t>další údaje a skutečnosti rozhodné pro stanovení výše poplatkové povinnosti, včetně skutečností zakládajících nárok na úlevu nebo případné osvobození od poplatkové povinnosti.</w:t>
      </w:r>
    </w:p>
    <w:p w14:paraId="64B7A713" w14:textId="138D25FD" w:rsidR="007D6785" w:rsidRPr="00AF4786" w:rsidRDefault="007D6785" w:rsidP="00687ECD">
      <w:pPr>
        <w:pStyle w:val="Odstavecseseznamem"/>
        <w:numPr>
          <w:ilvl w:val="0"/>
          <w:numId w:val="3"/>
        </w:numPr>
        <w:spacing w:before="120" w:line="288" w:lineRule="auto"/>
        <w:rPr>
          <w:sz w:val="22"/>
          <w:szCs w:val="22"/>
        </w:rPr>
      </w:pPr>
      <w:r w:rsidRPr="00AF4786">
        <w:rPr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AF4786">
        <w:rPr>
          <w:rStyle w:val="Znakapoznpodarou"/>
          <w:rFonts w:eastAsiaTheme="majorEastAsia"/>
          <w:sz w:val="22"/>
          <w:szCs w:val="22"/>
        </w:rPr>
        <w:footnoteReference w:id="4"/>
      </w:r>
    </w:p>
    <w:p w14:paraId="74917CC2" w14:textId="3D54AA49" w:rsidR="007D6785" w:rsidRPr="00AF4786" w:rsidRDefault="007D6785" w:rsidP="00687ECD">
      <w:pPr>
        <w:pStyle w:val="Odstavecseseznamem"/>
        <w:numPr>
          <w:ilvl w:val="0"/>
          <w:numId w:val="3"/>
        </w:numPr>
        <w:spacing w:before="120" w:line="288" w:lineRule="auto"/>
        <w:rPr>
          <w:sz w:val="22"/>
          <w:szCs w:val="22"/>
        </w:rPr>
      </w:pPr>
      <w:r w:rsidRPr="00AF4786">
        <w:rPr>
          <w:sz w:val="22"/>
          <w:szCs w:val="22"/>
        </w:rPr>
        <w:t>Dojde-li ke změně údajů uvedených v ohlášení, je poplatník povinen tuto změnu oznámit do 15 dnů ode dne, kdy nastala.</w:t>
      </w:r>
      <w:r w:rsidRPr="00AF4786">
        <w:rPr>
          <w:rStyle w:val="Znakapoznpodarou"/>
          <w:rFonts w:eastAsiaTheme="majorEastAsia"/>
          <w:sz w:val="22"/>
          <w:szCs w:val="22"/>
        </w:rPr>
        <w:footnoteReference w:id="5"/>
      </w:r>
      <w:r w:rsidRPr="00AF4786">
        <w:rPr>
          <w:sz w:val="22"/>
          <w:szCs w:val="22"/>
        </w:rPr>
        <w:t xml:space="preserve"> </w:t>
      </w:r>
    </w:p>
    <w:p w14:paraId="0C6C1E28" w14:textId="31FF5234" w:rsidR="007D6785" w:rsidRPr="00AF4786" w:rsidRDefault="007D6785" w:rsidP="00687ECD">
      <w:pPr>
        <w:pStyle w:val="Odstavecseseznamem"/>
        <w:numPr>
          <w:ilvl w:val="0"/>
          <w:numId w:val="3"/>
        </w:numPr>
        <w:spacing w:before="120" w:line="288" w:lineRule="auto"/>
        <w:rPr>
          <w:sz w:val="22"/>
          <w:szCs w:val="22"/>
        </w:rPr>
      </w:pPr>
      <w:r w:rsidRPr="00AF4786">
        <w:rPr>
          <w:sz w:val="22"/>
          <w:szCs w:val="22"/>
        </w:rPr>
        <w:t>Poplatník je povinen vést v písemné podobě evidenční knihu, do které zapisuje dobu ubytování, jméno, příjmení, adresu místa trvalého pobytu nebo místa trvalého bydliště v zahraničí a číslo občanského průkazu nebo cestovního dokladu fyzické osoby, které ubytování poskytl. Zápisy do evidenční knihy musí být vedeny přehledně a srozumitelně a musí být uspořádány postupně z časového hlediska.</w:t>
      </w:r>
      <w:r w:rsidRPr="00AF4786">
        <w:rPr>
          <w:rStyle w:val="Znakapoznpodarou"/>
          <w:rFonts w:eastAsiaTheme="majorEastAsia"/>
          <w:sz w:val="22"/>
          <w:szCs w:val="22"/>
        </w:rPr>
        <w:footnoteReference w:id="6"/>
      </w:r>
    </w:p>
    <w:p w14:paraId="2ACDABCA" w14:textId="77777777" w:rsidR="007D6785" w:rsidRPr="00642171" w:rsidRDefault="007D6785" w:rsidP="007D6785">
      <w:pPr>
        <w:pStyle w:val="slalnk"/>
        <w:spacing w:before="480"/>
        <w:rPr>
          <w:rFonts w:ascii="Arial" w:hAnsi="Arial" w:cs="Arial"/>
        </w:rPr>
      </w:pPr>
      <w:r w:rsidRPr="00642171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F443442" w14:textId="77777777" w:rsidR="007D6785" w:rsidRDefault="007D6785" w:rsidP="007D6785">
      <w:pPr>
        <w:pStyle w:val="Nzvylnk"/>
        <w:rPr>
          <w:rFonts w:ascii="Arial" w:hAnsi="Arial" w:cs="Arial"/>
        </w:rPr>
      </w:pPr>
      <w:r w:rsidRPr="00BB1DD0">
        <w:rPr>
          <w:rFonts w:ascii="Arial" w:hAnsi="Arial" w:cs="Arial"/>
        </w:rPr>
        <w:t>Sazba poplatku</w:t>
      </w:r>
    </w:p>
    <w:p w14:paraId="66959394" w14:textId="4C0C276A" w:rsidR="007D6785" w:rsidRPr="00AF4786" w:rsidRDefault="008E7405" w:rsidP="00687ECD">
      <w:pPr>
        <w:pStyle w:val="Odstavecseseznamem"/>
        <w:numPr>
          <w:ilvl w:val="0"/>
          <w:numId w:val="5"/>
        </w:numPr>
        <w:tabs>
          <w:tab w:val="left" w:pos="6300"/>
        </w:tabs>
        <w:spacing w:before="240" w:line="288" w:lineRule="auto"/>
        <w:rPr>
          <w:sz w:val="22"/>
          <w:szCs w:val="22"/>
        </w:rPr>
      </w:pPr>
      <w:r w:rsidRPr="00687ECD">
        <w:rPr>
          <w:szCs w:val="24"/>
        </w:rPr>
        <w:t xml:space="preserve">    </w:t>
      </w:r>
      <w:r w:rsidR="007D6785" w:rsidRPr="00AF4786">
        <w:rPr>
          <w:sz w:val="22"/>
          <w:szCs w:val="22"/>
        </w:rPr>
        <w:t>Sazba poplatku činí za každé využité lůžko a den 5,- Kč.</w:t>
      </w:r>
    </w:p>
    <w:p w14:paraId="76242627" w14:textId="77777777" w:rsidR="007D6785" w:rsidRPr="00642171" w:rsidRDefault="007D6785" w:rsidP="007D6785">
      <w:pPr>
        <w:pStyle w:val="slalnk"/>
        <w:spacing w:before="480"/>
        <w:rPr>
          <w:rFonts w:ascii="Arial" w:hAnsi="Arial" w:cs="Arial"/>
        </w:rPr>
      </w:pPr>
      <w:r w:rsidRPr="00642171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63D8A937" w14:textId="77777777" w:rsidR="007D6785" w:rsidRDefault="007D6785" w:rsidP="007D6785">
      <w:pPr>
        <w:pStyle w:val="Nzvylnk"/>
        <w:rPr>
          <w:rFonts w:ascii="Arial" w:hAnsi="Arial" w:cs="Arial"/>
        </w:rPr>
      </w:pPr>
      <w:r w:rsidRPr="00642171">
        <w:rPr>
          <w:rFonts w:ascii="Arial" w:hAnsi="Arial" w:cs="Arial"/>
        </w:rPr>
        <w:t>Splatnost poplatku</w:t>
      </w:r>
    </w:p>
    <w:p w14:paraId="09E09759" w14:textId="507CBB8D" w:rsidR="007D6785" w:rsidRPr="00AF4786" w:rsidRDefault="00687ECD" w:rsidP="00687ECD">
      <w:pPr>
        <w:pStyle w:val="Odstavecseseznamem"/>
        <w:numPr>
          <w:ilvl w:val="0"/>
          <w:numId w:val="6"/>
        </w:numPr>
        <w:tabs>
          <w:tab w:val="left" w:pos="6300"/>
        </w:tabs>
        <w:spacing w:before="120" w:line="288" w:lineRule="auto"/>
        <w:rPr>
          <w:sz w:val="22"/>
          <w:szCs w:val="22"/>
        </w:rPr>
      </w:pPr>
      <w:r w:rsidRPr="00687ECD">
        <w:rPr>
          <w:szCs w:val="24"/>
        </w:rPr>
        <w:t xml:space="preserve">  </w:t>
      </w:r>
      <w:r w:rsidR="007D6785" w:rsidRPr="00AF4786">
        <w:rPr>
          <w:sz w:val="22"/>
          <w:szCs w:val="22"/>
        </w:rPr>
        <w:t>Poplatek je splatný do 31.12. příslušného kalendářního roku</w:t>
      </w:r>
    </w:p>
    <w:p w14:paraId="31B0A37B" w14:textId="77777777" w:rsidR="007D6785" w:rsidRPr="00412521" w:rsidRDefault="007D6785" w:rsidP="007D6785">
      <w:pPr>
        <w:spacing w:line="288" w:lineRule="auto"/>
        <w:ind w:left="567"/>
        <w:rPr>
          <w:rFonts w:ascii="Arial" w:hAnsi="Arial" w:cs="Arial"/>
        </w:rPr>
      </w:pPr>
    </w:p>
    <w:p w14:paraId="607C84C4" w14:textId="77777777" w:rsidR="007D6785" w:rsidRPr="00F0789D" w:rsidRDefault="007D6785" w:rsidP="007D67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23FE404D" w14:textId="77777777" w:rsidR="007D6785" w:rsidRDefault="007D6785" w:rsidP="007D6785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6BF58F6E" w14:textId="6B844B65" w:rsidR="007D6785" w:rsidRPr="00AF4786" w:rsidRDefault="007D6785" w:rsidP="00687ECD">
      <w:pPr>
        <w:pStyle w:val="Odstavecseseznamem"/>
        <w:numPr>
          <w:ilvl w:val="0"/>
          <w:numId w:val="8"/>
        </w:numPr>
        <w:spacing w:before="120" w:line="288" w:lineRule="auto"/>
        <w:rPr>
          <w:sz w:val="22"/>
          <w:szCs w:val="22"/>
        </w:rPr>
      </w:pPr>
      <w:r w:rsidRPr="00AF4786">
        <w:rPr>
          <w:sz w:val="22"/>
          <w:szCs w:val="22"/>
        </w:rPr>
        <w:t>Poplatku nepodléhá:</w:t>
      </w:r>
    </w:p>
    <w:p w14:paraId="56FF5CC8" w14:textId="7F362056" w:rsidR="00687ECD" w:rsidRPr="00AF4786" w:rsidRDefault="00687ECD" w:rsidP="00687ECD">
      <w:pPr>
        <w:pStyle w:val="Odstavecseseznamem"/>
        <w:numPr>
          <w:ilvl w:val="0"/>
          <w:numId w:val="9"/>
        </w:numPr>
        <w:spacing w:before="120" w:line="288" w:lineRule="auto"/>
        <w:rPr>
          <w:sz w:val="22"/>
          <w:szCs w:val="22"/>
        </w:rPr>
      </w:pPr>
      <w:r w:rsidRPr="00AF4786">
        <w:rPr>
          <w:sz w:val="22"/>
          <w:szCs w:val="22"/>
        </w:rPr>
        <w:t>ubytovací kapacita v zařízeních sloužících pro přechodné ubytování studentů a žáků</w:t>
      </w:r>
    </w:p>
    <w:p w14:paraId="6193AA50" w14:textId="156815A3" w:rsidR="00687ECD" w:rsidRPr="00AF4786" w:rsidRDefault="00687ECD" w:rsidP="00687ECD">
      <w:pPr>
        <w:pStyle w:val="Odstavecseseznamem"/>
        <w:numPr>
          <w:ilvl w:val="0"/>
          <w:numId w:val="9"/>
        </w:numPr>
        <w:spacing w:before="120" w:line="288" w:lineRule="auto"/>
        <w:rPr>
          <w:sz w:val="22"/>
          <w:szCs w:val="22"/>
        </w:rPr>
      </w:pPr>
      <w:r w:rsidRPr="00AF4786">
        <w:rPr>
          <w:sz w:val="22"/>
          <w:szCs w:val="22"/>
        </w:rPr>
        <w:t>ubytovací kapacita ve zdravotnických nebo lázeňských zařízeních, pokud nejsou užívána jako hotelová zařízení</w:t>
      </w:r>
    </w:p>
    <w:p w14:paraId="2708F16D" w14:textId="77777777" w:rsidR="00687ECD" w:rsidRPr="00AF4786" w:rsidRDefault="00687ECD" w:rsidP="00687ECD">
      <w:pPr>
        <w:pStyle w:val="Odstavecseseznamem"/>
        <w:numPr>
          <w:ilvl w:val="0"/>
          <w:numId w:val="9"/>
        </w:numPr>
        <w:spacing w:before="120" w:line="288" w:lineRule="auto"/>
        <w:rPr>
          <w:sz w:val="22"/>
          <w:szCs w:val="22"/>
        </w:rPr>
      </w:pPr>
      <w:r w:rsidRPr="00AF4786">
        <w:rPr>
          <w:sz w:val="22"/>
          <w:szCs w:val="22"/>
        </w:rPr>
        <w:t>ubytovací kapacita v zařízeních sloužících sociálním a charitativním účelům.</w:t>
      </w:r>
      <w:r w:rsidRPr="00AF4786">
        <w:rPr>
          <w:rStyle w:val="Znakapoznpodarou"/>
          <w:rFonts w:eastAsiaTheme="majorEastAsia"/>
          <w:sz w:val="22"/>
          <w:szCs w:val="22"/>
        </w:rPr>
        <w:footnoteReference w:id="7"/>
      </w:r>
    </w:p>
    <w:p w14:paraId="6D4DF9B6" w14:textId="77777777" w:rsidR="007D6785" w:rsidRPr="00AF4786" w:rsidRDefault="007D6785" w:rsidP="00687ECD">
      <w:pPr>
        <w:spacing w:before="120" w:line="288" w:lineRule="auto"/>
        <w:ind w:left="567"/>
        <w:rPr>
          <w:rFonts w:ascii="Times New Roman" w:hAnsi="Times New Roman"/>
          <w:i/>
          <w:color w:val="0070C0"/>
        </w:rPr>
      </w:pPr>
    </w:p>
    <w:p w14:paraId="6371AEF4" w14:textId="556AEDE0" w:rsidR="007D6785" w:rsidRPr="00AF4786" w:rsidRDefault="007D6785" w:rsidP="00687ECD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 w:rsidRPr="00AF4786">
        <w:rPr>
          <w:sz w:val="22"/>
          <w:szCs w:val="22"/>
        </w:rPr>
        <w:t>Údaj rozhodný pro osvobození nebo úlevu je poplatník povinen ohlásit ve lhůtě do 31.12. příslušného kalendářního roku</w:t>
      </w:r>
    </w:p>
    <w:p w14:paraId="1AB11687" w14:textId="77777777" w:rsidR="007D6785" w:rsidRPr="00AF4786" w:rsidRDefault="007D6785" w:rsidP="00687ECD">
      <w:pPr>
        <w:ind w:left="567"/>
        <w:rPr>
          <w:rFonts w:ascii="Times New Roman" w:hAnsi="Times New Roman"/>
        </w:rPr>
      </w:pPr>
    </w:p>
    <w:p w14:paraId="16BA0B2B" w14:textId="5803E804" w:rsidR="007D6785" w:rsidRPr="00AF4786" w:rsidRDefault="007D6785" w:rsidP="00687ECD">
      <w:pPr>
        <w:pStyle w:val="Odstavecseseznamem"/>
        <w:numPr>
          <w:ilvl w:val="0"/>
          <w:numId w:val="6"/>
        </w:numPr>
        <w:spacing w:before="120" w:line="264" w:lineRule="auto"/>
        <w:rPr>
          <w:sz w:val="22"/>
          <w:szCs w:val="22"/>
        </w:rPr>
      </w:pPr>
      <w:r w:rsidRPr="00AF4786">
        <w:rPr>
          <w:sz w:val="22"/>
          <w:szCs w:val="22"/>
        </w:rPr>
        <w:t>V případě, že poplatník nesplní povinnost ohlásit údaj rozhodný pro osvobození nebo úlevu ve lhůtách stanovených vyhláškou nebo zákonem, nárok na osvobození nebo úlevu zaniká.</w:t>
      </w:r>
      <w:r w:rsidRPr="00AF4786">
        <w:rPr>
          <w:rStyle w:val="Znakapoznpodarou"/>
          <w:rFonts w:eastAsiaTheme="majorEastAsia"/>
          <w:sz w:val="22"/>
          <w:szCs w:val="22"/>
        </w:rPr>
        <w:footnoteReference w:id="8"/>
      </w:r>
    </w:p>
    <w:p w14:paraId="7A4B2717" w14:textId="5AAD3B78" w:rsidR="007D6785" w:rsidRDefault="007D6785" w:rsidP="00687ECD">
      <w:pPr>
        <w:tabs>
          <w:tab w:val="left" w:pos="3780"/>
        </w:tabs>
        <w:spacing w:line="264" w:lineRule="auto"/>
        <w:ind w:left="567"/>
        <w:rPr>
          <w:rFonts w:ascii="Arial" w:hAnsi="Arial" w:cs="Arial"/>
          <w:i/>
          <w:color w:val="0070C0"/>
          <w:u w:val="single"/>
        </w:rPr>
      </w:pPr>
    </w:p>
    <w:p w14:paraId="42CF4256" w14:textId="2430AB9F" w:rsidR="00316457" w:rsidRDefault="00316457" w:rsidP="00687ECD">
      <w:pPr>
        <w:tabs>
          <w:tab w:val="left" w:pos="3780"/>
        </w:tabs>
        <w:spacing w:line="264" w:lineRule="auto"/>
        <w:ind w:left="567"/>
        <w:rPr>
          <w:rFonts w:ascii="Arial" w:hAnsi="Arial" w:cs="Arial"/>
          <w:i/>
          <w:color w:val="0070C0"/>
          <w:u w:val="single"/>
        </w:rPr>
      </w:pPr>
    </w:p>
    <w:p w14:paraId="7A34A616" w14:textId="50D48417" w:rsidR="00316457" w:rsidRDefault="00316457" w:rsidP="00687ECD">
      <w:pPr>
        <w:tabs>
          <w:tab w:val="left" w:pos="3780"/>
        </w:tabs>
        <w:spacing w:line="264" w:lineRule="auto"/>
        <w:ind w:left="567"/>
        <w:rPr>
          <w:rFonts w:ascii="Arial" w:hAnsi="Arial" w:cs="Arial"/>
          <w:i/>
          <w:color w:val="0070C0"/>
          <w:u w:val="single"/>
        </w:rPr>
      </w:pPr>
    </w:p>
    <w:p w14:paraId="03DC47FE" w14:textId="77777777" w:rsidR="00316457" w:rsidRPr="00AF4786" w:rsidRDefault="00316457" w:rsidP="00687ECD">
      <w:pPr>
        <w:tabs>
          <w:tab w:val="left" w:pos="3780"/>
        </w:tabs>
        <w:spacing w:line="264" w:lineRule="auto"/>
        <w:ind w:left="567"/>
        <w:rPr>
          <w:rFonts w:ascii="Arial" w:hAnsi="Arial" w:cs="Arial"/>
          <w:i/>
          <w:color w:val="0070C0"/>
          <w:u w:val="single"/>
        </w:rPr>
      </w:pPr>
    </w:p>
    <w:p w14:paraId="7B21E547" w14:textId="77777777" w:rsidR="007D6785" w:rsidRPr="00F0789D" w:rsidRDefault="007D6785" w:rsidP="007D67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5E65BFF0" w14:textId="77777777" w:rsidR="007D6785" w:rsidRDefault="007D6785" w:rsidP="007D67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008150CE" w14:textId="1DF8697E" w:rsidR="007D6785" w:rsidRPr="00AF4786" w:rsidRDefault="007D6785" w:rsidP="00687ECD">
      <w:pPr>
        <w:pStyle w:val="Odstavecseseznamem"/>
        <w:numPr>
          <w:ilvl w:val="0"/>
          <w:numId w:val="7"/>
        </w:numPr>
        <w:spacing w:before="120" w:line="288" w:lineRule="auto"/>
        <w:rPr>
          <w:sz w:val="22"/>
          <w:szCs w:val="22"/>
        </w:rPr>
      </w:pPr>
      <w:r w:rsidRPr="00AF4786">
        <w:rPr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AF4786">
        <w:rPr>
          <w:rStyle w:val="Znakapoznpodarou"/>
          <w:rFonts w:eastAsiaTheme="majorEastAsia"/>
          <w:sz w:val="22"/>
          <w:szCs w:val="22"/>
        </w:rPr>
        <w:footnoteReference w:id="9"/>
      </w:r>
    </w:p>
    <w:p w14:paraId="7C05908D" w14:textId="5BB5A1A2" w:rsidR="007D6785" w:rsidRPr="00AF4786" w:rsidRDefault="007D6785" w:rsidP="00687ECD">
      <w:pPr>
        <w:pStyle w:val="Odstavecseseznamem"/>
        <w:numPr>
          <w:ilvl w:val="0"/>
          <w:numId w:val="7"/>
        </w:numPr>
        <w:spacing w:before="120" w:line="288" w:lineRule="auto"/>
        <w:rPr>
          <w:sz w:val="22"/>
          <w:szCs w:val="22"/>
        </w:rPr>
      </w:pPr>
      <w:r w:rsidRPr="00AF4786">
        <w:rPr>
          <w:sz w:val="22"/>
          <w:szCs w:val="22"/>
        </w:rPr>
        <w:t>Včas nezaplacené nebo neodvedené poplatky nebo část těchto poplatků může správce poplatku zvýšit až na trojnásobek; toto zvýšení je příslušenstvím poplatku.</w:t>
      </w:r>
      <w:r w:rsidRPr="00AF4786">
        <w:rPr>
          <w:rStyle w:val="Znakapoznpodarou"/>
          <w:rFonts w:eastAsiaTheme="majorEastAsia"/>
          <w:sz w:val="22"/>
          <w:szCs w:val="22"/>
        </w:rPr>
        <w:footnoteReference w:id="10"/>
      </w:r>
    </w:p>
    <w:p w14:paraId="5AF7E16E" w14:textId="5E1E8376" w:rsidR="007D6785" w:rsidRPr="00DF5857" w:rsidRDefault="007D6785" w:rsidP="007D67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E7405">
        <w:rPr>
          <w:rFonts w:ascii="Arial" w:hAnsi="Arial" w:cs="Arial"/>
        </w:rPr>
        <w:t>8</w:t>
      </w:r>
    </w:p>
    <w:p w14:paraId="72901DBD" w14:textId="77777777" w:rsidR="007D6785" w:rsidRDefault="007D6785" w:rsidP="007D67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3D78D1D" w14:textId="72FD0739" w:rsidR="00835612" w:rsidRPr="00EC3E1C" w:rsidRDefault="00835612" w:rsidP="00835612">
      <w:pPr>
        <w:jc w:val="center"/>
      </w:pPr>
      <w:r>
        <w:rPr>
          <w:rFonts w:ascii="Arial" w:hAnsi="Arial" w:cs="Arial"/>
        </w:rPr>
        <w:tab/>
      </w:r>
    </w:p>
    <w:p w14:paraId="5F604222" w14:textId="7DB401DB" w:rsidR="008E7405" w:rsidRDefault="008E7405" w:rsidP="00835612">
      <w:pPr>
        <w:tabs>
          <w:tab w:val="left" w:pos="4200"/>
        </w:tabs>
        <w:spacing w:before="120" w:line="288" w:lineRule="auto"/>
        <w:jc w:val="both"/>
        <w:rPr>
          <w:rFonts w:ascii="Arial" w:hAnsi="Arial" w:cs="Arial"/>
        </w:rPr>
      </w:pPr>
    </w:p>
    <w:p w14:paraId="12F00CDF" w14:textId="3064B1D8" w:rsidR="007D6785" w:rsidRPr="00835612" w:rsidRDefault="007D6785" w:rsidP="00835612">
      <w:pPr>
        <w:pStyle w:val="Odstavecseseznamem"/>
        <w:spacing w:before="120" w:line="288" w:lineRule="auto"/>
        <w:jc w:val="both"/>
        <w:rPr>
          <w:sz w:val="22"/>
          <w:szCs w:val="22"/>
        </w:rPr>
      </w:pPr>
      <w:r w:rsidRPr="00835612">
        <w:rPr>
          <w:sz w:val="22"/>
          <w:szCs w:val="22"/>
        </w:rPr>
        <w:t xml:space="preserve">Tato vyhláška nabývá účinnosti dnem </w:t>
      </w:r>
      <w:r w:rsidR="00835612" w:rsidRPr="00835612">
        <w:rPr>
          <w:sz w:val="22"/>
          <w:szCs w:val="22"/>
        </w:rPr>
        <w:t>29.12.2018 a ruší se vyhláška č.2/2006 z 3.12.2006</w:t>
      </w:r>
    </w:p>
    <w:p w14:paraId="17FC59ED" w14:textId="47129A83" w:rsidR="00065CDE" w:rsidRDefault="00065CDE" w:rsidP="00F92502">
      <w:pPr>
        <w:rPr>
          <w:rFonts w:ascii="Times New Roman" w:hAnsi="Times New Roman"/>
        </w:rPr>
      </w:pPr>
    </w:p>
    <w:p w14:paraId="41FAA9B1" w14:textId="484CCF54" w:rsidR="00065CDE" w:rsidRDefault="00065CDE" w:rsidP="00F92502">
      <w:pPr>
        <w:rPr>
          <w:rFonts w:ascii="Times New Roman" w:hAnsi="Times New Roman"/>
        </w:rPr>
      </w:pPr>
    </w:p>
    <w:p w14:paraId="45BAB629" w14:textId="26EB2B46" w:rsidR="00065CDE" w:rsidRDefault="00065CDE" w:rsidP="00F92502">
      <w:pPr>
        <w:rPr>
          <w:rFonts w:ascii="Times New Roman" w:hAnsi="Times New Roman"/>
        </w:rPr>
      </w:pPr>
    </w:p>
    <w:p w14:paraId="26E7D0E2" w14:textId="26452746" w:rsidR="00065CDE" w:rsidRDefault="00065CDE" w:rsidP="00F92502">
      <w:pPr>
        <w:rPr>
          <w:rFonts w:ascii="Times New Roman" w:hAnsi="Times New Roman"/>
        </w:rPr>
      </w:pPr>
    </w:p>
    <w:p w14:paraId="4600729C" w14:textId="1A399DC5" w:rsidR="00065CDE" w:rsidRDefault="00065CDE" w:rsidP="00F92502">
      <w:pPr>
        <w:rPr>
          <w:rFonts w:ascii="Times New Roman" w:hAnsi="Times New Roman"/>
        </w:rPr>
      </w:pPr>
    </w:p>
    <w:p w14:paraId="2F6652E7" w14:textId="03873493" w:rsidR="00065CDE" w:rsidRDefault="00065CDE" w:rsidP="00F92502">
      <w:pPr>
        <w:rPr>
          <w:rFonts w:ascii="Times New Roman" w:hAnsi="Times New Roman"/>
        </w:rPr>
      </w:pPr>
    </w:p>
    <w:p w14:paraId="74F897E8" w14:textId="7FE89B6F" w:rsidR="00065CDE" w:rsidRDefault="00065CDE" w:rsidP="00F92502">
      <w:pPr>
        <w:rPr>
          <w:rFonts w:ascii="Times New Roman" w:hAnsi="Times New Roman"/>
        </w:rPr>
      </w:pPr>
    </w:p>
    <w:p w14:paraId="199FF0C8" w14:textId="77777777" w:rsidR="00065CDE" w:rsidRDefault="00065CDE" w:rsidP="00F92502">
      <w:pPr>
        <w:rPr>
          <w:rFonts w:ascii="Times New Roman" w:hAnsi="Times New Roman"/>
        </w:rPr>
      </w:pPr>
    </w:p>
    <w:p w14:paraId="30B4B272" w14:textId="77777777" w:rsidR="008E7405" w:rsidRPr="008E7405" w:rsidRDefault="00C64A9F" w:rsidP="008E74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8E7405" w:rsidRPr="008E7405">
        <w:rPr>
          <w:rFonts w:ascii="Times New Roman" w:hAnsi="Times New Roman"/>
          <w:sz w:val="24"/>
          <w:szCs w:val="24"/>
        </w:rPr>
        <w:t>Radek Dvořák</w:t>
      </w:r>
      <w:r w:rsidR="001A39D1" w:rsidRPr="008E7405">
        <w:rPr>
          <w:rFonts w:ascii="Times New Roman" w:hAnsi="Times New Roman"/>
          <w:sz w:val="24"/>
          <w:szCs w:val="24"/>
        </w:rPr>
        <w:tab/>
      </w:r>
      <w:r w:rsidR="001A39D1" w:rsidRPr="008E7405">
        <w:rPr>
          <w:rFonts w:ascii="Times New Roman" w:hAnsi="Times New Roman"/>
          <w:sz w:val="24"/>
          <w:szCs w:val="24"/>
        </w:rPr>
        <w:tab/>
      </w:r>
      <w:r w:rsidR="001A39D1" w:rsidRPr="008E7405">
        <w:rPr>
          <w:rFonts w:ascii="Times New Roman" w:hAnsi="Times New Roman"/>
          <w:sz w:val="24"/>
          <w:szCs w:val="24"/>
        </w:rPr>
        <w:tab/>
      </w:r>
      <w:r w:rsidR="001A39D1" w:rsidRPr="008E7405">
        <w:rPr>
          <w:rFonts w:ascii="Times New Roman" w:hAnsi="Times New Roman"/>
          <w:sz w:val="24"/>
          <w:szCs w:val="24"/>
        </w:rPr>
        <w:tab/>
      </w:r>
      <w:r w:rsidR="001A39D1" w:rsidRPr="008E7405">
        <w:rPr>
          <w:rFonts w:ascii="Times New Roman" w:hAnsi="Times New Roman"/>
          <w:sz w:val="24"/>
          <w:szCs w:val="24"/>
        </w:rPr>
        <w:tab/>
      </w:r>
      <w:r w:rsidR="001A39D1" w:rsidRPr="008E7405">
        <w:rPr>
          <w:rFonts w:ascii="Times New Roman" w:hAnsi="Times New Roman"/>
          <w:sz w:val="24"/>
          <w:szCs w:val="24"/>
        </w:rPr>
        <w:tab/>
      </w:r>
      <w:r w:rsidR="001A39D1" w:rsidRPr="008E7405">
        <w:rPr>
          <w:rFonts w:ascii="Times New Roman" w:hAnsi="Times New Roman"/>
          <w:sz w:val="24"/>
          <w:szCs w:val="24"/>
        </w:rPr>
        <w:tab/>
      </w:r>
      <w:r w:rsidR="001A39D1" w:rsidRPr="008E7405">
        <w:rPr>
          <w:rFonts w:ascii="Times New Roman" w:hAnsi="Times New Roman"/>
          <w:sz w:val="24"/>
          <w:szCs w:val="24"/>
        </w:rPr>
        <w:tab/>
      </w:r>
      <w:r w:rsidR="001A39D1" w:rsidRPr="008E7405">
        <w:rPr>
          <w:rFonts w:ascii="Times New Roman" w:hAnsi="Times New Roman"/>
          <w:sz w:val="24"/>
          <w:szCs w:val="24"/>
        </w:rPr>
        <w:tab/>
      </w:r>
      <w:r w:rsidRPr="008E740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8E7405">
        <w:rPr>
          <w:rFonts w:ascii="Times New Roman" w:hAnsi="Times New Roman"/>
          <w:sz w:val="24"/>
          <w:szCs w:val="24"/>
        </w:rPr>
        <w:t>Jíří</w:t>
      </w:r>
      <w:proofErr w:type="spellEnd"/>
      <w:r w:rsidRPr="008E7405">
        <w:rPr>
          <w:rFonts w:ascii="Times New Roman" w:hAnsi="Times New Roman"/>
          <w:sz w:val="24"/>
          <w:szCs w:val="24"/>
        </w:rPr>
        <w:t xml:space="preserve"> Štefl</w:t>
      </w:r>
    </w:p>
    <w:p w14:paraId="10F4C6DA" w14:textId="5C445D1E" w:rsidR="00C64A9F" w:rsidRPr="008E7405" w:rsidRDefault="008E7405" w:rsidP="008E7405">
      <w:pPr>
        <w:rPr>
          <w:rFonts w:ascii="Times New Roman" w:hAnsi="Times New Roman"/>
          <w:sz w:val="24"/>
          <w:szCs w:val="24"/>
        </w:rPr>
      </w:pPr>
      <w:r w:rsidRPr="008E7405">
        <w:rPr>
          <w:rFonts w:ascii="Times New Roman" w:hAnsi="Times New Roman"/>
          <w:sz w:val="24"/>
          <w:szCs w:val="24"/>
        </w:rPr>
        <w:t xml:space="preserve">       místostarosta obce</w:t>
      </w:r>
      <w:r w:rsidR="00C64A9F" w:rsidRPr="008E7405">
        <w:rPr>
          <w:rFonts w:ascii="Times New Roman" w:hAnsi="Times New Roman"/>
          <w:sz w:val="24"/>
          <w:szCs w:val="24"/>
        </w:rPr>
        <w:t xml:space="preserve"> </w:t>
      </w:r>
      <w:r w:rsidRPr="008E7405">
        <w:rPr>
          <w:rFonts w:ascii="Times New Roman" w:hAnsi="Times New Roman"/>
          <w:sz w:val="24"/>
          <w:szCs w:val="24"/>
        </w:rPr>
        <w:tab/>
      </w:r>
      <w:r w:rsidRPr="008E7405">
        <w:rPr>
          <w:rFonts w:ascii="Times New Roman" w:hAnsi="Times New Roman"/>
          <w:sz w:val="24"/>
          <w:szCs w:val="24"/>
        </w:rPr>
        <w:tab/>
      </w:r>
      <w:r w:rsidRPr="008E7405">
        <w:rPr>
          <w:rFonts w:ascii="Times New Roman" w:hAnsi="Times New Roman"/>
          <w:sz w:val="24"/>
          <w:szCs w:val="24"/>
        </w:rPr>
        <w:tab/>
      </w:r>
      <w:r w:rsidRPr="008E7405">
        <w:rPr>
          <w:rFonts w:ascii="Times New Roman" w:hAnsi="Times New Roman"/>
          <w:sz w:val="24"/>
          <w:szCs w:val="24"/>
        </w:rPr>
        <w:tab/>
      </w:r>
      <w:r w:rsidRPr="008E7405">
        <w:rPr>
          <w:rFonts w:ascii="Times New Roman" w:hAnsi="Times New Roman"/>
          <w:sz w:val="24"/>
          <w:szCs w:val="24"/>
        </w:rPr>
        <w:tab/>
      </w:r>
      <w:r w:rsidRPr="008E7405">
        <w:rPr>
          <w:rFonts w:ascii="Times New Roman" w:hAnsi="Times New Roman"/>
          <w:sz w:val="24"/>
          <w:szCs w:val="24"/>
        </w:rPr>
        <w:tab/>
      </w:r>
      <w:r w:rsidRPr="008E7405">
        <w:rPr>
          <w:rFonts w:ascii="Times New Roman" w:hAnsi="Times New Roman"/>
          <w:sz w:val="24"/>
          <w:szCs w:val="24"/>
        </w:rPr>
        <w:tab/>
      </w:r>
      <w:r w:rsidRPr="008E7405">
        <w:rPr>
          <w:rFonts w:ascii="Times New Roman" w:hAnsi="Times New Roman"/>
          <w:sz w:val="24"/>
          <w:szCs w:val="24"/>
        </w:rPr>
        <w:tab/>
      </w:r>
      <w:r w:rsidR="00C64A9F" w:rsidRPr="008E7405">
        <w:rPr>
          <w:rFonts w:ascii="Times New Roman" w:hAnsi="Times New Roman"/>
          <w:sz w:val="24"/>
          <w:szCs w:val="24"/>
        </w:rPr>
        <w:t>starosta obce</w:t>
      </w:r>
    </w:p>
    <w:p w14:paraId="73C20547" w14:textId="77777777" w:rsidR="001A39D1" w:rsidRPr="008E7405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14:paraId="6EA9B03E" w14:textId="77777777" w:rsidR="000A0ABB" w:rsidRPr="008E7405" w:rsidRDefault="000A0ABB" w:rsidP="00F92502">
      <w:pPr>
        <w:rPr>
          <w:rFonts w:ascii="Times New Roman" w:hAnsi="Times New Roman"/>
          <w:sz w:val="24"/>
          <w:szCs w:val="24"/>
        </w:rPr>
      </w:pPr>
      <w:r w:rsidRPr="008E7405">
        <w:rPr>
          <w:rFonts w:ascii="Times New Roman" w:hAnsi="Times New Roman"/>
          <w:sz w:val="24"/>
          <w:szCs w:val="24"/>
        </w:rPr>
        <w:tab/>
      </w:r>
      <w:r w:rsidRPr="008E7405">
        <w:rPr>
          <w:rFonts w:ascii="Times New Roman" w:hAnsi="Times New Roman"/>
          <w:sz w:val="24"/>
          <w:szCs w:val="24"/>
        </w:rPr>
        <w:tab/>
      </w:r>
    </w:p>
    <w:p w14:paraId="3AD909C9" w14:textId="77777777" w:rsidR="000A0ABB" w:rsidRPr="008E7405" w:rsidRDefault="000A0ABB" w:rsidP="00F92502">
      <w:pPr>
        <w:rPr>
          <w:rFonts w:ascii="Times New Roman" w:hAnsi="Times New Roman"/>
          <w:sz w:val="24"/>
          <w:szCs w:val="24"/>
        </w:rPr>
      </w:pPr>
    </w:p>
    <w:p w14:paraId="7F0650DA" w14:textId="77777777" w:rsidR="000A0ABB" w:rsidRPr="008E7405" w:rsidRDefault="000A0ABB" w:rsidP="00F92502">
      <w:pPr>
        <w:rPr>
          <w:rFonts w:ascii="Times New Roman" w:hAnsi="Times New Roman"/>
          <w:sz w:val="24"/>
          <w:szCs w:val="24"/>
        </w:rPr>
      </w:pPr>
    </w:p>
    <w:p w14:paraId="57D20186" w14:textId="77777777" w:rsidR="000A0ABB" w:rsidRPr="008E7405" w:rsidRDefault="000A0ABB" w:rsidP="00F92502">
      <w:pPr>
        <w:rPr>
          <w:rFonts w:ascii="Times New Roman" w:hAnsi="Times New Roman"/>
          <w:sz w:val="24"/>
          <w:szCs w:val="24"/>
        </w:rPr>
      </w:pPr>
    </w:p>
    <w:p w14:paraId="18BD0B76" w14:textId="77777777" w:rsidR="000A0ABB" w:rsidRPr="008E7405" w:rsidRDefault="000A0ABB" w:rsidP="00F92502">
      <w:pPr>
        <w:rPr>
          <w:rFonts w:ascii="Times New Roman" w:hAnsi="Times New Roman"/>
          <w:sz w:val="24"/>
          <w:szCs w:val="24"/>
        </w:rPr>
      </w:pPr>
    </w:p>
    <w:p w14:paraId="7B0C0201" w14:textId="2CBC9635" w:rsidR="000A0ABB" w:rsidRDefault="000A0ABB" w:rsidP="00F92502">
      <w:pPr>
        <w:rPr>
          <w:rFonts w:ascii="Times New Roman" w:hAnsi="Times New Roman"/>
          <w:sz w:val="24"/>
          <w:szCs w:val="24"/>
        </w:rPr>
      </w:pPr>
      <w:r w:rsidRPr="008E7405">
        <w:rPr>
          <w:rFonts w:ascii="Times New Roman" w:hAnsi="Times New Roman"/>
          <w:sz w:val="24"/>
          <w:szCs w:val="24"/>
        </w:rPr>
        <w:tab/>
      </w:r>
      <w:r w:rsidRPr="008E7405">
        <w:rPr>
          <w:rFonts w:ascii="Times New Roman" w:hAnsi="Times New Roman"/>
          <w:sz w:val="24"/>
          <w:szCs w:val="24"/>
        </w:rPr>
        <w:tab/>
      </w:r>
    </w:p>
    <w:p w14:paraId="59DB3563" w14:textId="499BF167" w:rsidR="009E4A59" w:rsidRDefault="009E4A59" w:rsidP="00F92502">
      <w:pPr>
        <w:rPr>
          <w:rFonts w:ascii="Times New Roman" w:hAnsi="Times New Roman"/>
          <w:sz w:val="24"/>
          <w:szCs w:val="24"/>
        </w:rPr>
      </w:pPr>
    </w:p>
    <w:p w14:paraId="7E88DF78" w14:textId="63F203BD" w:rsidR="009E4A59" w:rsidRDefault="009E4A59" w:rsidP="00F92502">
      <w:pPr>
        <w:rPr>
          <w:rFonts w:ascii="Times New Roman" w:hAnsi="Times New Roman"/>
          <w:sz w:val="24"/>
          <w:szCs w:val="24"/>
        </w:rPr>
      </w:pPr>
    </w:p>
    <w:p w14:paraId="56866152" w14:textId="7C5063B2" w:rsidR="009E4A59" w:rsidRDefault="009E4A59" w:rsidP="00F92502">
      <w:pPr>
        <w:rPr>
          <w:rFonts w:ascii="Times New Roman" w:hAnsi="Times New Roman"/>
          <w:sz w:val="24"/>
          <w:szCs w:val="24"/>
        </w:rPr>
      </w:pPr>
    </w:p>
    <w:p w14:paraId="330DACDC" w14:textId="2EAD3DE1" w:rsidR="009E4A59" w:rsidRDefault="009E4A59" w:rsidP="00F92502">
      <w:pPr>
        <w:rPr>
          <w:rFonts w:ascii="Times New Roman" w:hAnsi="Times New Roman"/>
          <w:sz w:val="24"/>
          <w:szCs w:val="24"/>
        </w:rPr>
      </w:pPr>
    </w:p>
    <w:p w14:paraId="41C2BE5E" w14:textId="670DEF8B" w:rsidR="009E4A59" w:rsidRDefault="009E4A59" w:rsidP="00F9250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CAB87B5" w14:textId="7B81E6EB" w:rsidR="009E4A59" w:rsidRDefault="009E4A59" w:rsidP="00F92502">
      <w:pPr>
        <w:rPr>
          <w:rFonts w:ascii="Times New Roman" w:hAnsi="Times New Roman"/>
          <w:sz w:val="24"/>
          <w:szCs w:val="24"/>
        </w:rPr>
      </w:pPr>
    </w:p>
    <w:p w14:paraId="4184C01B" w14:textId="1CCA93AB" w:rsidR="009E4A59" w:rsidRDefault="009E4A59" w:rsidP="00F92502">
      <w:pPr>
        <w:rPr>
          <w:rFonts w:ascii="Times New Roman" w:hAnsi="Times New Roman"/>
          <w:sz w:val="24"/>
          <w:szCs w:val="24"/>
        </w:rPr>
      </w:pPr>
    </w:p>
    <w:p w14:paraId="228FC204" w14:textId="77777777" w:rsidR="009E4A59" w:rsidRPr="008E7405" w:rsidRDefault="009E4A59" w:rsidP="00F92502">
      <w:pPr>
        <w:rPr>
          <w:rFonts w:ascii="Times New Roman" w:hAnsi="Times New Roman"/>
          <w:sz w:val="24"/>
          <w:szCs w:val="24"/>
        </w:rPr>
      </w:pPr>
    </w:p>
    <w:p w14:paraId="57E869B4" w14:textId="77777777" w:rsidR="000A0ABB" w:rsidRPr="008E7405" w:rsidRDefault="000A0ABB" w:rsidP="00F92502">
      <w:pPr>
        <w:rPr>
          <w:rFonts w:ascii="Times New Roman" w:hAnsi="Times New Roman"/>
          <w:sz w:val="24"/>
          <w:szCs w:val="24"/>
        </w:rPr>
      </w:pPr>
    </w:p>
    <w:p w14:paraId="5603C867" w14:textId="77777777" w:rsidR="000A0ABB" w:rsidRPr="008E7405" w:rsidRDefault="000A0ABB" w:rsidP="00F92502">
      <w:pPr>
        <w:rPr>
          <w:rFonts w:ascii="Times New Roman" w:hAnsi="Times New Roman"/>
          <w:sz w:val="24"/>
          <w:szCs w:val="24"/>
        </w:rPr>
      </w:pPr>
    </w:p>
    <w:p w14:paraId="790244E9" w14:textId="0649C438" w:rsidR="00700720" w:rsidRPr="008E7405" w:rsidRDefault="000A0ABB" w:rsidP="00F92502">
      <w:pPr>
        <w:rPr>
          <w:rFonts w:ascii="Times New Roman" w:hAnsi="Times New Roman"/>
          <w:sz w:val="24"/>
          <w:szCs w:val="24"/>
        </w:rPr>
      </w:pPr>
      <w:r w:rsidRPr="008E7405">
        <w:rPr>
          <w:rFonts w:ascii="Times New Roman" w:hAnsi="Times New Roman"/>
          <w:sz w:val="24"/>
          <w:szCs w:val="24"/>
        </w:rPr>
        <w:tab/>
        <w:t xml:space="preserve">vyvěšeno: </w:t>
      </w:r>
      <w:r w:rsidR="00835612">
        <w:rPr>
          <w:rFonts w:ascii="Times New Roman" w:hAnsi="Times New Roman"/>
          <w:sz w:val="24"/>
          <w:szCs w:val="24"/>
        </w:rPr>
        <w:t>29.12</w:t>
      </w:r>
      <w:r w:rsidR="00167729" w:rsidRPr="008E7405">
        <w:rPr>
          <w:rFonts w:ascii="Times New Roman" w:hAnsi="Times New Roman"/>
          <w:sz w:val="24"/>
          <w:szCs w:val="24"/>
        </w:rPr>
        <w:t>.2018</w:t>
      </w:r>
      <w:r w:rsidRPr="008E7405">
        <w:rPr>
          <w:rFonts w:ascii="Times New Roman" w:hAnsi="Times New Roman"/>
          <w:sz w:val="24"/>
          <w:szCs w:val="24"/>
        </w:rPr>
        <w:tab/>
      </w:r>
      <w:r w:rsidRPr="008E7405">
        <w:rPr>
          <w:rFonts w:ascii="Times New Roman" w:hAnsi="Times New Roman"/>
          <w:sz w:val="24"/>
          <w:szCs w:val="24"/>
        </w:rPr>
        <w:tab/>
      </w:r>
      <w:r w:rsidR="00C64A9F" w:rsidRPr="008E7405">
        <w:rPr>
          <w:rFonts w:ascii="Times New Roman" w:hAnsi="Times New Roman"/>
          <w:sz w:val="24"/>
          <w:szCs w:val="24"/>
        </w:rPr>
        <w:tab/>
      </w:r>
      <w:r w:rsidR="00C64A9F" w:rsidRPr="008E7405">
        <w:rPr>
          <w:rFonts w:ascii="Times New Roman" w:hAnsi="Times New Roman"/>
          <w:sz w:val="24"/>
          <w:szCs w:val="24"/>
        </w:rPr>
        <w:tab/>
        <w:t>sejmuto:</w:t>
      </w:r>
    </w:p>
    <w:sectPr w:rsidR="00700720" w:rsidRPr="008E7405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244FA" w14:textId="77777777" w:rsidR="007E2DA1" w:rsidRDefault="007E2DA1" w:rsidP="00F92502">
      <w:r>
        <w:separator/>
      </w:r>
    </w:p>
  </w:endnote>
  <w:endnote w:type="continuationSeparator" w:id="0">
    <w:p w14:paraId="790244FB" w14:textId="77777777" w:rsidR="007E2DA1" w:rsidRDefault="007E2DA1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244F8" w14:textId="77777777" w:rsidR="007E2DA1" w:rsidRDefault="007E2DA1" w:rsidP="00F92502">
      <w:r>
        <w:separator/>
      </w:r>
    </w:p>
  </w:footnote>
  <w:footnote w:type="continuationSeparator" w:id="0">
    <w:p w14:paraId="790244F9" w14:textId="77777777" w:rsidR="007E2DA1" w:rsidRDefault="007E2DA1" w:rsidP="00F92502">
      <w:r>
        <w:continuationSeparator/>
      </w:r>
    </w:p>
  </w:footnote>
  <w:footnote w:id="1">
    <w:p w14:paraId="1E2A7F36" w14:textId="77777777" w:rsidR="007D6785" w:rsidRPr="009C4EF0" w:rsidRDefault="007D6785" w:rsidP="007D678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C4EF0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9C4EF0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9C4EF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5F5EF6EF" w14:textId="77777777" w:rsidR="007D6785" w:rsidRPr="007C250A" w:rsidRDefault="007D6785" w:rsidP="007D6785">
      <w:pPr>
        <w:pStyle w:val="Textpoznpodarou"/>
        <w:rPr>
          <w:rFonts w:ascii="Arial" w:hAnsi="Arial" w:cs="Arial"/>
          <w:sz w:val="18"/>
          <w:szCs w:val="18"/>
        </w:rPr>
      </w:pPr>
      <w:r w:rsidRPr="007C250A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7C250A">
        <w:rPr>
          <w:rFonts w:ascii="Arial" w:hAnsi="Arial" w:cs="Arial"/>
          <w:sz w:val="18"/>
          <w:szCs w:val="18"/>
        </w:rPr>
        <w:t xml:space="preserve"> § 7 odst. 1 zákona o místních poplatcích</w:t>
      </w:r>
    </w:p>
  </w:footnote>
  <w:footnote w:id="3">
    <w:p w14:paraId="3CB6D20F" w14:textId="186D608C" w:rsidR="00316457" w:rsidRPr="00A04C8B" w:rsidRDefault="007D6785" w:rsidP="007D678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4">
    <w:p w14:paraId="3D8204D1" w14:textId="77777777" w:rsidR="007D6785" w:rsidRPr="00D6033A" w:rsidRDefault="007D6785" w:rsidP="007D6785">
      <w:pPr>
        <w:pStyle w:val="Textpoznpodarou"/>
        <w:rPr>
          <w:rFonts w:ascii="Arial" w:hAnsi="Arial" w:cs="Arial"/>
          <w:sz w:val="18"/>
          <w:szCs w:val="18"/>
        </w:rPr>
      </w:pPr>
      <w:r w:rsidRPr="00D6033A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D6033A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14:paraId="3FFF99FF" w14:textId="77777777" w:rsidR="007D6785" w:rsidRPr="00A04C8B" w:rsidRDefault="007D6785" w:rsidP="007D678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14:paraId="4BC39DD5" w14:textId="77777777" w:rsidR="007D6785" w:rsidRPr="00D00661" w:rsidRDefault="007D6785" w:rsidP="007D6785">
      <w:pPr>
        <w:pStyle w:val="Textpoznpodarou"/>
        <w:rPr>
          <w:rFonts w:ascii="Arial" w:hAnsi="Arial" w:cs="Arial"/>
          <w:sz w:val="18"/>
          <w:szCs w:val="18"/>
        </w:rPr>
      </w:pPr>
      <w:r w:rsidRPr="00D00661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D00661">
        <w:rPr>
          <w:rFonts w:ascii="Arial" w:hAnsi="Arial" w:cs="Arial"/>
          <w:sz w:val="18"/>
          <w:szCs w:val="18"/>
        </w:rPr>
        <w:t xml:space="preserve"> § 7 odst. 3 druhá věta zákona o místních poplatcích s odkazem na § 3 odst. 4 zákona o místních poplatcích</w:t>
      </w:r>
    </w:p>
  </w:footnote>
  <w:footnote w:id="7">
    <w:p w14:paraId="1D2298A0" w14:textId="77777777" w:rsidR="00687ECD" w:rsidRDefault="00687ECD" w:rsidP="00687ECD">
      <w:pPr>
        <w:pStyle w:val="Textpoznpodarou"/>
      </w:pPr>
      <w:r w:rsidRPr="00D00661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D00661">
        <w:rPr>
          <w:rFonts w:ascii="Arial" w:hAnsi="Arial" w:cs="Arial"/>
          <w:sz w:val="18"/>
          <w:szCs w:val="18"/>
        </w:rPr>
        <w:t xml:space="preserve"> § 7 odst. 2 zákona o místních poplatcích</w:t>
      </w:r>
    </w:p>
  </w:footnote>
  <w:footnote w:id="8">
    <w:p w14:paraId="2B945AD1" w14:textId="77777777" w:rsidR="007D6785" w:rsidRPr="00BA1E8D" w:rsidRDefault="007D6785" w:rsidP="007D6785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756CD24C" w14:textId="77777777" w:rsidR="007D6785" w:rsidRPr="00A04C8B" w:rsidRDefault="007D6785" w:rsidP="007D678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6ACCADA9" w14:textId="77777777" w:rsidR="007D6785" w:rsidRPr="00A04C8B" w:rsidRDefault="007D6785" w:rsidP="007D678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0066"/>
    <w:multiLevelType w:val="hybridMultilevel"/>
    <w:tmpl w:val="28663822"/>
    <w:lvl w:ilvl="0" w:tplc="49489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4C22510"/>
    <w:multiLevelType w:val="hybridMultilevel"/>
    <w:tmpl w:val="27AEC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84ADD"/>
    <w:multiLevelType w:val="hybridMultilevel"/>
    <w:tmpl w:val="FB2C7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C2C49"/>
    <w:multiLevelType w:val="hybridMultilevel"/>
    <w:tmpl w:val="D2BE3DBE"/>
    <w:lvl w:ilvl="0" w:tplc="35649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EE5157"/>
    <w:multiLevelType w:val="hybridMultilevel"/>
    <w:tmpl w:val="AAA89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20062"/>
    <w:multiLevelType w:val="hybridMultilevel"/>
    <w:tmpl w:val="A9968DE4"/>
    <w:lvl w:ilvl="0" w:tplc="919CB4C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C334FF1"/>
    <w:multiLevelType w:val="hybridMultilevel"/>
    <w:tmpl w:val="FF667EEE"/>
    <w:lvl w:ilvl="0" w:tplc="1C460C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DF26A67"/>
    <w:multiLevelType w:val="hybridMultilevel"/>
    <w:tmpl w:val="5F56D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03021"/>
    <w:multiLevelType w:val="hybridMultilevel"/>
    <w:tmpl w:val="B68ED292"/>
    <w:lvl w:ilvl="0" w:tplc="5C78FC7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713C8F"/>
    <w:multiLevelType w:val="hybridMultilevel"/>
    <w:tmpl w:val="EFE01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F6B7D"/>
    <w:multiLevelType w:val="hybridMultilevel"/>
    <w:tmpl w:val="24B0E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0109C"/>
    <w:multiLevelType w:val="hybridMultilevel"/>
    <w:tmpl w:val="0DDCF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476D1"/>
    <w:rsid w:val="00065CDE"/>
    <w:rsid w:val="000A0ABB"/>
    <w:rsid w:val="000A4C72"/>
    <w:rsid w:val="000F5FD2"/>
    <w:rsid w:val="00100BDD"/>
    <w:rsid w:val="00136401"/>
    <w:rsid w:val="00167729"/>
    <w:rsid w:val="001706D3"/>
    <w:rsid w:val="00183349"/>
    <w:rsid w:val="00195D44"/>
    <w:rsid w:val="001A39D1"/>
    <w:rsid w:val="001A5964"/>
    <w:rsid w:val="001C28E0"/>
    <w:rsid w:val="001C48AE"/>
    <w:rsid w:val="001E477A"/>
    <w:rsid w:val="00244CE0"/>
    <w:rsid w:val="0026289E"/>
    <w:rsid w:val="002A21DF"/>
    <w:rsid w:val="002A30BA"/>
    <w:rsid w:val="002B6744"/>
    <w:rsid w:val="0030084B"/>
    <w:rsid w:val="00316457"/>
    <w:rsid w:val="00334BA2"/>
    <w:rsid w:val="00351DC5"/>
    <w:rsid w:val="00353623"/>
    <w:rsid w:val="0038307F"/>
    <w:rsid w:val="003B538D"/>
    <w:rsid w:val="003B7300"/>
    <w:rsid w:val="003C243B"/>
    <w:rsid w:val="003E1B9D"/>
    <w:rsid w:val="004038B0"/>
    <w:rsid w:val="004349D1"/>
    <w:rsid w:val="0046275F"/>
    <w:rsid w:val="00493654"/>
    <w:rsid w:val="004C604A"/>
    <w:rsid w:val="004C74FF"/>
    <w:rsid w:val="004F2B34"/>
    <w:rsid w:val="005307AA"/>
    <w:rsid w:val="005466D6"/>
    <w:rsid w:val="00546A90"/>
    <w:rsid w:val="005E7DCE"/>
    <w:rsid w:val="0060219E"/>
    <w:rsid w:val="00687ECD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C5CE1"/>
    <w:rsid w:val="007D2F01"/>
    <w:rsid w:val="007D6785"/>
    <w:rsid w:val="007E2DA1"/>
    <w:rsid w:val="007F171A"/>
    <w:rsid w:val="00835612"/>
    <w:rsid w:val="00841232"/>
    <w:rsid w:val="00874480"/>
    <w:rsid w:val="008B7159"/>
    <w:rsid w:val="008D6906"/>
    <w:rsid w:val="008E7405"/>
    <w:rsid w:val="009504FF"/>
    <w:rsid w:val="00973F6F"/>
    <w:rsid w:val="00975C71"/>
    <w:rsid w:val="00986A75"/>
    <w:rsid w:val="009C73EA"/>
    <w:rsid w:val="009E4A59"/>
    <w:rsid w:val="009F1555"/>
    <w:rsid w:val="009F2772"/>
    <w:rsid w:val="009F793C"/>
    <w:rsid w:val="00A02233"/>
    <w:rsid w:val="00A2059A"/>
    <w:rsid w:val="00A71727"/>
    <w:rsid w:val="00AD7AE7"/>
    <w:rsid w:val="00AF4786"/>
    <w:rsid w:val="00AF68FE"/>
    <w:rsid w:val="00B1549E"/>
    <w:rsid w:val="00B304F2"/>
    <w:rsid w:val="00B34E5D"/>
    <w:rsid w:val="00B67F5C"/>
    <w:rsid w:val="00BA0576"/>
    <w:rsid w:val="00BA2D7E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261C2"/>
    <w:rsid w:val="00D57300"/>
    <w:rsid w:val="00D77D16"/>
    <w:rsid w:val="00DF426C"/>
    <w:rsid w:val="00DF4EE4"/>
    <w:rsid w:val="00E31355"/>
    <w:rsid w:val="00E367C2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E26AD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semiHidden/>
    <w:rsid w:val="007D6785"/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D6785"/>
    <w:rPr>
      <w:rFonts w:ascii="Times New Roman" w:eastAsia="Times New Roman" w:hAnsi="Times New Roman"/>
      <w:noProof/>
      <w:sz w:val="20"/>
      <w:szCs w:val="20"/>
    </w:rPr>
  </w:style>
  <w:style w:type="character" w:styleId="Znakapoznpodarou">
    <w:name w:val="footnote reference"/>
    <w:semiHidden/>
    <w:rsid w:val="007D6785"/>
    <w:rPr>
      <w:vertAlign w:val="superscript"/>
    </w:rPr>
  </w:style>
  <w:style w:type="paragraph" w:customStyle="1" w:styleId="slalnk">
    <w:name w:val="Čísla článků"/>
    <w:basedOn w:val="Normln"/>
    <w:rsid w:val="007D6785"/>
    <w:pPr>
      <w:keepNext/>
      <w:keepLines/>
      <w:spacing w:before="360" w:after="60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D6785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8CAD0-18D3-4224-A837-26A4BABF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624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Dvořák Radek</cp:lastModifiedBy>
  <cp:revision>8</cp:revision>
  <cp:lastPrinted>2014-11-21T19:16:00Z</cp:lastPrinted>
  <dcterms:created xsi:type="dcterms:W3CDTF">2018-11-27T08:20:00Z</dcterms:created>
  <dcterms:modified xsi:type="dcterms:W3CDTF">2018-12-30T12:55:00Z</dcterms:modified>
</cp:coreProperties>
</file>