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70" w:rsidRPr="00D36F70" w:rsidRDefault="00D64A6F" w:rsidP="00D36F70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FF00FF"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 3</w:t>
      </w:r>
    </w:p>
    <w:tbl>
      <w:tblPr>
        <w:tblW w:w="0" w:type="auto"/>
        <w:jc w:val="center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</w:tblGrid>
      <w:tr w:rsidR="00D36F70" w:rsidRPr="00D36F70" w:rsidTr="007E63F2">
        <w:trPr>
          <w:trHeight w:val="454"/>
          <w:jc w:val="center"/>
        </w:trPr>
        <w:tc>
          <w:tcPr>
            <w:tcW w:w="1757" w:type="dxa"/>
            <w:vAlign w:val="center"/>
          </w:tcPr>
          <w:p w:rsidR="00D36F70" w:rsidRPr="00D36F70" w:rsidRDefault="00D36F70" w:rsidP="00D36F70">
            <w:pPr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6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Partner č.:</w:t>
            </w:r>
            <w:r w:rsidRPr="00D36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19</w:t>
            </w:r>
          </w:p>
        </w:tc>
      </w:tr>
    </w:tbl>
    <w:p w:rsidR="00D36F70" w:rsidRPr="00D36F70" w:rsidRDefault="00D36F70" w:rsidP="00D36F70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6F70" w:rsidRPr="00D36F70" w:rsidRDefault="00D36F70" w:rsidP="00D36F7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32"/>
          <w:highlight w:val="lightGray"/>
          <w:u w:val="single"/>
          <w:shd w:val="clear" w:color="auto" w:fill="F79646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bCs/>
          <w:szCs w:val="32"/>
          <w:highlight w:val="lightGray"/>
          <w:u w:val="single"/>
          <w:shd w:val="clear" w:color="auto" w:fill="F79646"/>
          <w:lang w:eastAsia="cs-CZ"/>
        </w:rPr>
        <w:t xml:space="preserve">ČESTNÉ PROHLÁŠENÍ DODAVATELE O SPLNĚNÍ </w:t>
      </w:r>
    </w:p>
    <w:p w:rsidR="00D36F70" w:rsidRPr="00D36F70" w:rsidRDefault="00D36F70" w:rsidP="00D36F7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32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bCs/>
          <w:szCs w:val="32"/>
          <w:highlight w:val="lightGray"/>
          <w:u w:val="single"/>
          <w:shd w:val="clear" w:color="auto" w:fill="F79646"/>
          <w:lang w:eastAsia="cs-CZ"/>
        </w:rPr>
        <w:t>ZÁKLADNÍCH KVALIFIKAČNÍCH PŘEDPOKLADŮ</w:t>
      </w:r>
    </w:p>
    <w:p w:rsidR="00D36F70" w:rsidRPr="00D36F70" w:rsidRDefault="00D36F70" w:rsidP="00D36F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spacing w:after="0" w:line="264" w:lineRule="auto"/>
        <w:jc w:val="both"/>
        <w:rPr>
          <w:rFonts w:ascii="Book Antiqua" w:eastAsia="Times New Roman" w:hAnsi="Book Antiqua" w:cs="Times New Roman"/>
          <w:sz w:val="10"/>
          <w:szCs w:val="10"/>
          <w:lang w:eastAsia="cs-CZ"/>
        </w:rPr>
      </w:pPr>
    </w:p>
    <w:p w:rsidR="00D36F70" w:rsidRPr="00D36F70" w:rsidRDefault="00D36F70" w:rsidP="00D36F70">
      <w:pPr>
        <w:autoSpaceDE w:val="0"/>
        <w:autoSpaceDN w:val="0"/>
        <w:spacing w:after="0" w:line="264" w:lineRule="auto"/>
        <w:jc w:val="both"/>
        <w:rPr>
          <w:rFonts w:ascii="Book Antiqua" w:eastAsia="Times New Roman" w:hAnsi="Book Antiqua" w:cs="Arial"/>
          <w:sz w:val="18"/>
          <w:szCs w:val="24"/>
          <w:lang w:eastAsia="cs-CZ"/>
        </w:rPr>
      </w:pPr>
    </w:p>
    <w:p w:rsidR="00D36F70" w:rsidRPr="00D36F70" w:rsidRDefault="00D36F70" w:rsidP="00D36F7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Já, níže podepsaný 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6F70"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………………………………………..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6F70"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…………….</w:t>
      </w: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D36F70"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společnosti</w:t>
      </w:r>
      <w:proofErr w:type="gramEnd"/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6F70"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……………………..</w:t>
      </w: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sídlem 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36F70" w:rsidRPr="00D36F70" w:rsidRDefault="00A55953" w:rsidP="00D36F7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souladu </w:t>
      </w:r>
      <w:r w:rsidR="00D36F70" w:rsidRPr="00D36F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 ustanovením § 53 odst. 1 písm. a), b), c), d), e), f), g), h), i), j), k)  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zákona č. 137/2006 Sb., o veřejných zakázkách, v platném znění (dále jen zákon), 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D36F70" w:rsidRPr="00D36F70" w:rsidRDefault="00D36F70" w:rsidP="00D36F7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čestně prohlašuji, že základní kvalifikační předpoklady uvedené níže splňuje výše uvedená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cs-CZ"/>
        </w:rPr>
        <w:t>právnická osoba (dodavatel), tak i členové statutárního orgánu / fyzická osoba - podnikatel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D36F70" w:rsidRPr="00D36F70" w:rsidRDefault="00D36F70" w:rsidP="00D36F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Základní kvalifikační předpoklady splňuje dodavatel:</w:t>
      </w:r>
    </w:p>
    <w:p w:rsidR="00D36F70" w:rsidRPr="00D36F70" w:rsidRDefault="00D36F70" w:rsidP="00D36F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36F70" w:rsidRPr="00D36F70" w:rsidRDefault="00D36F70" w:rsidP="00D36F70">
      <w:pPr>
        <w:numPr>
          <w:ilvl w:val="0"/>
          <w:numId w:val="1"/>
        </w:num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  <w:t xml:space="preserve">dle </w:t>
      </w:r>
      <w:r w:rsidRPr="00D36F7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  <w:t>§ 53 odst. 1 písm. a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  <w:t>) zákona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který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Pr="00D36F7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nebyl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pravomocně odsouzen (ani žádný z členů statutárního orgánu)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bydliště.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cs-CZ"/>
        </w:rPr>
      </w:pPr>
    </w:p>
    <w:p w:rsidR="00D36F70" w:rsidRPr="00D36F70" w:rsidRDefault="00D36F70" w:rsidP="00D36F70">
      <w:pPr>
        <w:numPr>
          <w:ilvl w:val="0"/>
          <w:numId w:val="1"/>
        </w:num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  <w:t>§ 53 odst. 1 písm. b) zákona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který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Pr="00D36F7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nebyl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pravomocně odsouzen (ani žádný z členů statutárního orgánu)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bydliště.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cs-CZ"/>
        </w:rPr>
      </w:pPr>
    </w:p>
    <w:p w:rsidR="00D36F70" w:rsidRPr="00D36F70" w:rsidRDefault="00D36F70" w:rsidP="00D36F70">
      <w:pPr>
        <w:numPr>
          <w:ilvl w:val="0"/>
          <w:numId w:val="1"/>
        </w:num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  <w:t>§ 53 odst. 1 písm. c) zákona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>který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v posledních 3 letech </w:t>
      </w:r>
      <w:r w:rsidRPr="00D36F7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nenaplnil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skutkovou podstatu jednání nekalé soutěže formou podplácení podle zvláštního právního předpisu 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cs-CZ"/>
        </w:rPr>
        <w:footnoteReference w:id="1"/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.</w:t>
      </w:r>
    </w:p>
    <w:p w:rsidR="00D36F70" w:rsidRPr="00D36F70" w:rsidRDefault="00D36F70" w:rsidP="00D36F70">
      <w:pPr>
        <w:numPr>
          <w:ilvl w:val="0"/>
          <w:numId w:val="2"/>
        </w:num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  <w:t>§ 53 odst. 1 písm. d) zákona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vůči majetku </w:t>
      </w:r>
      <w:r w:rsidRPr="00D36F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dodavatele</w:t>
      </w: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36F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neprobíhá</w:t>
      </w: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</w:t>
      </w:r>
      <w:r w:rsidRPr="00D36F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footnoteReference w:id="2"/>
      </w: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</w:rPr>
        <w:t>nebo zavedena nucená správa podle zvláštních právních předpisů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.</w:t>
      </w:r>
    </w:p>
    <w:p w:rsidR="00D36F70" w:rsidRPr="00D36F70" w:rsidRDefault="00D36F70" w:rsidP="00D36F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D36F70" w:rsidRPr="00D36F70" w:rsidRDefault="00D36F70" w:rsidP="00D36F70">
      <w:pPr>
        <w:numPr>
          <w:ilvl w:val="0"/>
          <w:numId w:val="2"/>
        </w:num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  <w:t>§ 53 odst. 1 písm. e) zákona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který není</w:t>
      </w: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likvidaci.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D36F70" w:rsidRPr="00D36F70" w:rsidRDefault="00D36F70" w:rsidP="00D36F70">
      <w:pPr>
        <w:numPr>
          <w:ilvl w:val="0"/>
          <w:numId w:val="2"/>
        </w:num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  <w:t>§ 53 odst. 1 písm. f) zákona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který</w:t>
      </w: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36F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nemá</w:t>
      </w: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v evidenci daní zachyceny daňové nedoplatky, a to jak v České republice, tak v zemi sídla, místa podnikání či bydliště dodavatele.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D36F70" w:rsidRPr="00D36F70" w:rsidRDefault="00D36F70" w:rsidP="00D36F70">
      <w:pPr>
        <w:numPr>
          <w:ilvl w:val="0"/>
          <w:numId w:val="2"/>
        </w:num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  <w:t>§ 53 odst. 1 písm. f) zákona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který nemá </w:t>
      </w:r>
      <w:r w:rsidRPr="00D36F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 vztahu ke spotřební dani zachyceny žádné nedoplatky, 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a to jak v České republice, tak v zemi sídla, místa podnikání či bydliště dodavatele.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D36F70" w:rsidRPr="00D36F70" w:rsidRDefault="00D36F70" w:rsidP="00D36F70">
      <w:pPr>
        <w:numPr>
          <w:ilvl w:val="0"/>
          <w:numId w:val="2"/>
        </w:num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  <w:t>§ 53 odst. 1 písm. g) zákona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který nemá 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nedoplatek na pojistném a na penále na veřejné zdravotní pojištění, a to jak v České republice, tak v zemi sídla, místa podnikání či bydliště dodavatele.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cs-CZ"/>
        </w:rPr>
      </w:pPr>
    </w:p>
    <w:p w:rsidR="00D36F70" w:rsidRPr="00D36F70" w:rsidRDefault="00D36F70" w:rsidP="00D36F70">
      <w:pPr>
        <w:numPr>
          <w:ilvl w:val="0"/>
          <w:numId w:val="1"/>
        </w:num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  <w:t>§ 53 odst. 1 písm. h) zákona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který nemá 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nedoplatek na pojistném a na penále na sociální zabezpečení a příspěvku na státní politiku zaměstnanosti, a to jak v České republice, tak v zemi sídla, místa podnikání či bydliště dodavatele.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cs-CZ"/>
        </w:rPr>
      </w:pPr>
    </w:p>
    <w:p w:rsidR="00D36F70" w:rsidRPr="00D36F70" w:rsidRDefault="00D36F70" w:rsidP="00D36F70">
      <w:pPr>
        <w:numPr>
          <w:ilvl w:val="0"/>
          <w:numId w:val="3"/>
        </w:num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  <w:t>§ 53 odst. 1 písm. i) zákona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který nebyl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cs-CZ"/>
        </w:rPr>
      </w:pPr>
    </w:p>
    <w:p w:rsidR="00D36F70" w:rsidRPr="00D36F70" w:rsidRDefault="00D36F70" w:rsidP="00D36F70">
      <w:pPr>
        <w:numPr>
          <w:ilvl w:val="0"/>
          <w:numId w:val="3"/>
        </w:num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  <w:t>§ 53 odst. 1 písm. j) zákona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který není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veden v rejstříku osob se zákazem plnění veřejných zakázek.</w:t>
      </w:r>
    </w:p>
    <w:p w:rsidR="00D36F70" w:rsidRPr="00D36F70" w:rsidRDefault="00D36F70" w:rsidP="00D36F7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cs-CZ"/>
        </w:rPr>
      </w:pPr>
    </w:p>
    <w:p w:rsidR="00D36F70" w:rsidRPr="00D36F70" w:rsidRDefault="00D36F70" w:rsidP="00D36F70">
      <w:pPr>
        <w:numPr>
          <w:ilvl w:val="0"/>
          <w:numId w:val="3"/>
        </w:numPr>
        <w:autoSpaceDE w:val="0"/>
        <w:autoSpaceDN w:val="0"/>
        <w:spacing w:after="0" w:line="264" w:lineRule="auto"/>
        <w:ind w:left="28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</w:pPr>
      <w:r w:rsidRPr="00D36F7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cs-CZ"/>
        </w:rPr>
        <w:t>§ 53 odst. 1 písm. k) zákona</w:t>
      </w:r>
    </w:p>
    <w:p w:rsidR="00D36F70" w:rsidRPr="00D36F70" w:rsidRDefault="00D36F70" w:rsidP="00D36F7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D36F7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kterému nebyla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v posledních 3 letech pravomocně uložena pokuta za umožnění výkonu nelegální práce podle zvláštního právního předpisu </w:t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cs-CZ"/>
        </w:rPr>
        <w:footnoteReference w:id="3"/>
      </w:r>
      <w:r w:rsidRPr="00D36F7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.</w:t>
      </w:r>
    </w:p>
    <w:p w:rsidR="00D36F70" w:rsidRPr="00D36F70" w:rsidRDefault="00D36F70" w:rsidP="00D36F70">
      <w:pPr>
        <w:spacing w:before="60" w:after="60" w:line="240" w:lineRule="auto"/>
        <w:jc w:val="both"/>
        <w:rPr>
          <w:rFonts w:ascii="Book Antiqua" w:eastAsia="Times New Roman" w:hAnsi="Book Antiqua" w:cs="Times New Roman"/>
          <w:bCs/>
          <w:sz w:val="20"/>
          <w:szCs w:val="20"/>
          <w:highlight w:val="yellow"/>
          <w:lang w:eastAsia="cs-CZ"/>
        </w:rPr>
      </w:pPr>
    </w:p>
    <w:p w:rsidR="00D36F70" w:rsidRPr="00D36F70" w:rsidRDefault="00D36F70" w:rsidP="00D36F70">
      <w:pPr>
        <w:autoSpaceDE w:val="0"/>
        <w:autoSpaceDN w:val="0"/>
        <w:spacing w:after="0" w:line="264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D36F70">
        <w:rPr>
          <w:rFonts w:ascii="Book Antiqua" w:eastAsia="Times New Roman" w:hAnsi="Book Antiqua" w:cs="Times New Roman"/>
          <w:sz w:val="20"/>
          <w:szCs w:val="20"/>
          <w:lang w:eastAsia="cs-CZ"/>
        </w:rPr>
        <w:t>Toto čestně prohlašuji jako osoba oprávněná jednat jménem či za uchazeče. .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both"/>
        <w:rPr>
          <w:rFonts w:ascii="Book Antiqua" w:eastAsia="Times New Roman" w:hAnsi="Book Antiqua" w:cs="Arial"/>
          <w:sz w:val="18"/>
          <w:szCs w:val="18"/>
          <w:lang w:eastAsia="cs-CZ"/>
        </w:rPr>
      </w:pPr>
    </w:p>
    <w:p w:rsidR="00D36F70" w:rsidRPr="00D36F70" w:rsidRDefault="00D36F70" w:rsidP="00D36F70">
      <w:pPr>
        <w:autoSpaceDE w:val="0"/>
        <w:autoSpaceDN w:val="0"/>
        <w:spacing w:after="0" w:line="264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D36F70">
        <w:rPr>
          <w:rFonts w:ascii="Book Antiqua" w:eastAsia="Times New Roman" w:hAnsi="Book Antiqua" w:cs="Times New Roman"/>
          <w:sz w:val="20"/>
          <w:szCs w:val="20"/>
          <w:lang w:eastAsia="cs-CZ"/>
        </w:rPr>
        <w:t>V </w:t>
      </w:r>
      <w:r w:rsidRPr="00D36F70">
        <w:rPr>
          <w:rFonts w:ascii="Book Antiqua" w:eastAsia="Times New Roman" w:hAnsi="Book Antiqua" w:cs="Times New Roman"/>
          <w:sz w:val="20"/>
          <w:szCs w:val="20"/>
          <w:highlight w:val="yellow"/>
          <w:lang w:eastAsia="cs-CZ"/>
        </w:rPr>
        <w:t>…………………</w:t>
      </w:r>
      <w:r w:rsidRPr="00D36F7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dne </w:t>
      </w:r>
      <w:r w:rsidRPr="00D36F70">
        <w:rPr>
          <w:rFonts w:ascii="Book Antiqua" w:eastAsia="Times New Roman" w:hAnsi="Book Antiqua" w:cs="Times New Roman"/>
          <w:sz w:val="20"/>
          <w:szCs w:val="20"/>
          <w:highlight w:val="yellow"/>
          <w:lang w:eastAsia="cs-CZ"/>
        </w:rPr>
        <w:t>…………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jc w:val="right"/>
        <w:rPr>
          <w:rFonts w:ascii="Book Antiqua" w:eastAsia="Times New Roman" w:hAnsi="Book Antiqua" w:cs="Times New Roman"/>
          <w:i/>
          <w:iCs/>
          <w:sz w:val="20"/>
          <w:szCs w:val="20"/>
          <w:lang w:eastAsia="cs-CZ"/>
        </w:rPr>
      </w:pPr>
    </w:p>
    <w:p w:rsidR="00D36F70" w:rsidRPr="00D36F70" w:rsidRDefault="00D36F70" w:rsidP="00D36F70">
      <w:pPr>
        <w:autoSpaceDE w:val="0"/>
        <w:autoSpaceDN w:val="0"/>
        <w:spacing w:after="0" w:line="264" w:lineRule="auto"/>
        <w:jc w:val="right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D36F70">
        <w:rPr>
          <w:rFonts w:ascii="Book Antiqua" w:eastAsia="Times New Roman" w:hAnsi="Book Antiqua" w:cs="Times New Roman"/>
          <w:i/>
          <w:iCs/>
          <w:sz w:val="20"/>
          <w:szCs w:val="20"/>
          <w:highlight w:val="yellow"/>
          <w:lang w:eastAsia="cs-CZ"/>
        </w:rPr>
        <w:t>………………………………………….</w:t>
      </w:r>
    </w:p>
    <w:p w:rsidR="00D36F70" w:rsidRPr="00D36F70" w:rsidRDefault="00D36F70" w:rsidP="00D36F70">
      <w:pPr>
        <w:autoSpaceDE w:val="0"/>
        <w:autoSpaceDN w:val="0"/>
        <w:spacing w:after="0" w:line="264" w:lineRule="auto"/>
        <w:ind w:left="567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D36F70">
        <w:rPr>
          <w:rFonts w:ascii="Book Antiqua" w:eastAsia="Times New Roman" w:hAnsi="Book Antiqua" w:cs="Times New Roman"/>
          <w:sz w:val="20"/>
          <w:szCs w:val="20"/>
          <w:highlight w:val="yellow"/>
          <w:lang w:eastAsia="cs-CZ"/>
        </w:rPr>
        <w:t>Jméno a podpis osoby oprávněné jednat jménem či za uchazeče</w:t>
      </w:r>
    </w:p>
    <w:sectPr w:rsidR="00D36F70" w:rsidRPr="00D36F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69" w:rsidRDefault="00312069" w:rsidP="00D36F70">
      <w:pPr>
        <w:spacing w:after="0" w:line="240" w:lineRule="auto"/>
      </w:pPr>
      <w:r>
        <w:separator/>
      </w:r>
    </w:p>
  </w:endnote>
  <w:endnote w:type="continuationSeparator" w:id="0">
    <w:p w:rsidR="00312069" w:rsidRDefault="00312069" w:rsidP="00D3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FC" w:rsidRPr="00260FFC" w:rsidRDefault="00260FFC" w:rsidP="00260FFC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b/>
        <w:color w:val="808080"/>
        <w:lang w:eastAsia="cs-CZ"/>
      </w:rPr>
    </w:pPr>
    <w:r w:rsidRPr="00260FFC">
      <w:rPr>
        <w:rFonts w:ascii="Cambria" w:eastAsia="Times New Roman" w:hAnsi="Cambria" w:cs="Times New Roman"/>
        <w:b/>
        <w:color w:val="808080"/>
        <w:lang w:eastAsia="cs-CZ"/>
      </w:rPr>
      <w:t>Cestou přírodovědných a technických oborů napříč Středočeským krajem</w:t>
    </w:r>
  </w:p>
  <w:p w:rsidR="00260FFC" w:rsidRPr="00260FFC" w:rsidRDefault="00260FFC" w:rsidP="00260FF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260FFC">
      <w:rPr>
        <w:rFonts w:ascii="Cambria" w:eastAsia="Times New Roman" w:hAnsi="Cambria" w:cs="Times New Roman"/>
        <w:color w:val="808080"/>
        <w:lang w:eastAsia="cs-CZ"/>
      </w:rPr>
      <w:t xml:space="preserve">registrační číslo: </w:t>
    </w:r>
    <w:r w:rsidRPr="00260FFC">
      <w:rPr>
        <w:rFonts w:ascii="Cambria" w:eastAsia="Times New Roman" w:hAnsi="Cambria" w:cs="Times New Roman"/>
        <w:color w:val="808080"/>
        <w:szCs w:val="24"/>
        <w:lang w:eastAsia="cs-CZ"/>
      </w:rPr>
      <w:t>CZ.1.07/1.1.00/44.0011</w:t>
    </w:r>
  </w:p>
  <w:p w:rsidR="00260FFC" w:rsidRDefault="00260FFC">
    <w:pPr>
      <w:pStyle w:val="Zpat"/>
    </w:pPr>
  </w:p>
  <w:p w:rsidR="00260FFC" w:rsidRDefault="00260F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69" w:rsidRDefault="00312069" w:rsidP="00D36F70">
      <w:pPr>
        <w:spacing w:after="0" w:line="240" w:lineRule="auto"/>
      </w:pPr>
      <w:r>
        <w:separator/>
      </w:r>
    </w:p>
  </w:footnote>
  <w:footnote w:type="continuationSeparator" w:id="0">
    <w:p w:rsidR="00312069" w:rsidRDefault="00312069" w:rsidP="00D36F70">
      <w:pPr>
        <w:spacing w:after="0" w:line="240" w:lineRule="auto"/>
      </w:pPr>
      <w:r>
        <w:continuationSeparator/>
      </w:r>
    </w:p>
  </w:footnote>
  <w:footnote w:id="1">
    <w:p w:rsidR="00D36F70" w:rsidRPr="005E4C7C" w:rsidRDefault="00D36F70" w:rsidP="00D36F70">
      <w:pPr>
        <w:pStyle w:val="Textpoznpodarou"/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E4C7C">
        <w:rPr>
          <w:rFonts w:ascii="Book Antiqua" w:hAnsi="Book Antiqua"/>
          <w:bCs/>
          <w:sz w:val="18"/>
          <w:szCs w:val="18"/>
        </w:rPr>
        <w:t>§ 49 zákona č. 513/1991 Sb. obchodní zákoník, ve znění pozdějších předpisů</w:t>
      </w:r>
    </w:p>
  </w:footnote>
  <w:footnote w:id="2">
    <w:p w:rsidR="00D36F70" w:rsidRDefault="00D36F70" w:rsidP="00D36F70">
      <w:pPr>
        <w:pStyle w:val="Textpoznpodarou"/>
        <w:spacing w:after="0" w:line="240" w:lineRule="auto"/>
      </w:pPr>
      <w:r w:rsidRPr="005E4C7C">
        <w:rPr>
          <w:rStyle w:val="Znakapoznpodarou"/>
          <w:rFonts w:ascii="Book Antiqua" w:hAnsi="Book Antiqua"/>
          <w:sz w:val="18"/>
          <w:szCs w:val="18"/>
        </w:rPr>
        <w:footnoteRef/>
      </w:r>
      <w:r w:rsidRPr="005E4C7C">
        <w:rPr>
          <w:rFonts w:ascii="Book Antiqua" w:hAnsi="Book Antiqua"/>
          <w:sz w:val="18"/>
          <w:szCs w:val="18"/>
        </w:rPr>
        <w:t xml:space="preserve"> Zákon č. 182/2006 Sb., o úpadku a způsobech jeho řešení (insolvenční zákon), ve znění pozdějších předpisů.</w:t>
      </w:r>
    </w:p>
  </w:footnote>
  <w:footnote w:id="3">
    <w:p w:rsidR="00D36F70" w:rsidRDefault="00D36F70" w:rsidP="00D36F70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50505">
        <w:rPr>
          <w:rFonts w:ascii="Book Antiqua" w:hAnsi="Book Antiqua"/>
          <w:sz w:val="18"/>
          <w:szCs w:val="18"/>
        </w:rPr>
        <w:t>§ 5 písm. e) bod 3 zákona č. 435/2004 Sb., o zaměstnanosti,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FC" w:rsidRDefault="00260FFC">
    <w:pPr>
      <w:pStyle w:val="Zhlav"/>
    </w:pPr>
    <w:r>
      <w:rPr>
        <w:rFonts w:ascii="Arial" w:eastAsia="Times New Roman" w:hAnsi="Arial" w:cs="Arial"/>
        <w:i/>
        <w:noProof/>
        <w:color w:val="0000FF"/>
        <w:lang w:eastAsia="cs-CZ"/>
      </w:rPr>
      <w:drawing>
        <wp:inline distT="0" distB="0" distL="0" distR="0" wp14:anchorId="275B2C57" wp14:editId="6FC0CE35">
          <wp:extent cx="5760720" cy="799595"/>
          <wp:effectExtent l="0" t="0" r="0" b="635"/>
          <wp:docPr id="1" name="Obrázek 1" descr="Popis: Rozšířený logolink OP VK SČK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Rozšířený logolink OP VK SČK_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EB5"/>
    <w:multiLevelType w:val="hybridMultilevel"/>
    <w:tmpl w:val="A516BA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90C9A"/>
    <w:multiLevelType w:val="hybridMultilevel"/>
    <w:tmpl w:val="1354D5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43F2D"/>
    <w:multiLevelType w:val="hybridMultilevel"/>
    <w:tmpl w:val="D75ED6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70"/>
    <w:rsid w:val="00101304"/>
    <w:rsid w:val="00260FFC"/>
    <w:rsid w:val="00312069"/>
    <w:rsid w:val="004C2218"/>
    <w:rsid w:val="005D378B"/>
    <w:rsid w:val="009E7364"/>
    <w:rsid w:val="00A55953"/>
    <w:rsid w:val="00CF6F7D"/>
    <w:rsid w:val="00D36F70"/>
    <w:rsid w:val="00D533AE"/>
    <w:rsid w:val="00D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6F70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6F70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D36F70"/>
    <w:rPr>
      <w:vertAlign w:val="superscript"/>
    </w:rPr>
  </w:style>
  <w:style w:type="character" w:styleId="Odkaznakoment">
    <w:name w:val="annotation reference"/>
    <w:uiPriority w:val="99"/>
    <w:semiHidden/>
    <w:unhideWhenUsed/>
    <w:rsid w:val="00D36F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F70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F70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F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FFC"/>
  </w:style>
  <w:style w:type="paragraph" w:styleId="Zpat">
    <w:name w:val="footer"/>
    <w:basedOn w:val="Normln"/>
    <w:link w:val="ZpatChar"/>
    <w:uiPriority w:val="99"/>
    <w:unhideWhenUsed/>
    <w:rsid w:val="0026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6F70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6F70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D36F70"/>
    <w:rPr>
      <w:vertAlign w:val="superscript"/>
    </w:rPr>
  </w:style>
  <w:style w:type="character" w:styleId="Odkaznakoment">
    <w:name w:val="annotation reference"/>
    <w:uiPriority w:val="99"/>
    <w:semiHidden/>
    <w:unhideWhenUsed/>
    <w:rsid w:val="00D36F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F70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F70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F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FFC"/>
  </w:style>
  <w:style w:type="paragraph" w:styleId="Zpat">
    <w:name w:val="footer"/>
    <w:basedOn w:val="Normln"/>
    <w:link w:val="ZpatChar"/>
    <w:uiPriority w:val="99"/>
    <w:unhideWhenUsed/>
    <w:rsid w:val="0026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Hrejsová</dc:creator>
  <cp:lastModifiedBy>Šnajdr Marek</cp:lastModifiedBy>
  <cp:revision>2</cp:revision>
  <dcterms:created xsi:type="dcterms:W3CDTF">2014-02-17T13:51:00Z</dcterms:created>
  <dcterms:modified xsi:type="dcterms:W3CDTF">2014-02-17T13:51:00Z</dcterms:modified>
</cp:coreProperties>
</file>