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E" w:rsidRDefault="00447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Č.j.91/2011</w:t>
      </w:r>
      <w:r w:rsidR="00BC46B6">
        <w:tab/>
      </w:r>
    </w:p>
    <w:p w:rsidR="00BC46B6" w:rsidRDefault="00BC46B6" w:rsidP="00BC46B6">
      <w:pPr>
        <w:ind w:left="1416" w:firstLine="708"/>
        <w:rPr>
          <w:b/>
          <w:sz w:val="44"/>
          <w:szCs w:val="44"/>
        </w:rPr>
      </w:pPr>
      <w:r w:rsidRPr="00BC46B6">
        <w:rPr>
          <w:b/>
          <w:sz w:val="44"/>
          <w:szCs w:val="44"/>
        </w:rPr>
        <w:t>Obec Bystré</w:t>
      </w:r>
    </w:p>
    <w:p w:rsidR="00BC46B6" w:rsidRDefault="00BC46B6" w:rsidP="00BC46B6">
      <w:pPr>
        <w:rPr>
          <w:b/>
          <w:sz w:val="32"/>
          <w:szCs w:val="32"/>
        </w:rPr>
      </w:pPr>
      <w:r w:rsidRPr="00BC46B6">
        <w:rPr>
          <w:b/>
          <w:sz w:val="32"/>
          <w:szCs w:val="32"/>
        </w:rPr>
        <w:t>Oznamujeme,že se schvaluje na základě §</w:t>
      </w:r>
      <w:r>
        <w:rPr>
          <w:b/>
          <w:sz w:val="32"/>
          <w:szCs w:val="32"/>
        </w:rPr>
        <w:t xml:space="preserve"> 36 a,odst.4 zákona č. 367/1996 Sb.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Záměr obce prodat „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Parcelu č. 300/3  o výměře    453 m2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Parcelu č. 300/4  o výměře 1.378 m2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katastru obce Bystré.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účelem výstavby rodinných domků dle zastavovacího plánu obce.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Záměr prodeje byl schválen obecním zastupitelstvem dne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Bystrém dne: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Václav Drašnar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Starosta obce.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 dne:</w:t>
      </w:r>
    </w:p>
    <w:p w:rsidR="00BC46B6" w:rsidRP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Sejmuto dne:</w:t>
      </w:r>
    </w:p>
    <w:sectPr w:rsidR="00BC46B6" w:rsidRPr="00BC46B6" w:rsidSect="00F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6B6"/>
    <w:rsid w:val="0021100A"/>
    <w:rsid w:val="00447305"/>
    <w:rsid w:val="009761A4"/>
    <w:rsid w:val="00BC46B6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2011-11-23T14:37:00Z</dcterms:created>
  <dcterms:modified xsi:type="dcterms:W3CDTF">2011-11-23T14:53:00Z</dcterms:modified>
</cp:coreProperties>
</file>